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CA" w:rsidRDefault="004A1C22" w:rsidP="004A1C22">
      <w:pPr>
        <w:pStyle w:val="a6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b/>
          <w:sz w:val="22"/>
          <w:szCs w:val="22"/>
        </w:rPr>
        <w:t>用户需求书</w:t>
      </w:r>
    </w:p>
    <w:p w:rsidR="00E66B88" w:rsidRPr="00E66B88" w:rsidRDefault="00E66B88" w:rsidP="004A1C22">
      <w:pPr>
        <w:pStyle w:val="a6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A4ACA" w:rsidRPr="00E66B88" w:rsidRDefault="000A4ACA" w:rsidP="000A4ACA">
      <w:pPr>
        <w:pStyle w:val="4"/>
        <w:spacing w:before="92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w w:val="110"/>
          <w:sz w:val="22"/>
          <w:szCs w:val="22"/>
        </w:rPr>
        <w:t>一</w:t>
      </w:r>
      <w:r w:rsidR="004A1C22" w:rsidRPr="00E66B88">
        <w:rPr>
          <w:rFonts w:asciiTheme="minorEastAsia" w:eastAsiaTheme="minorEastAsia" w:hAnsiTheme="minorEastAsia" w:hint="eastAsia"/>
          <w:w w:val="110"/>
          <w:sz w:val="22"/>
          <w:szCs w:val="22"/>
        </w:rPr>
        <w:t>、</w:t>
      </w:r>
      <w:r w:rsidRPr="00E66B88">
        <w:rPr>
          <w:rFonts w:asciiTheme="minorEastAsia" w:eastAsiaTheme="minorEastAsia" w:hAnsiTheme="minorEastAsia" w:hint="eastAsia"/>
          <w:w w:val="110"/>
          <w:sz w:val="22"/>
          <w:szCs w:val="22"/>
        </w:rPr>
        <w:t>项目概述</w:t>
      </w:r>
    </w:p>
    <w:p w:rsidR="000A4ACA" w:rsidRPr="00E66B88" w:rsidRDefault="000A4ACA" w:rsidP="000A4ACA">
      <w:pPr>
        <w:pStyle w:val="5"/>
        <w:numPr>
          <w:ilvl w:val="0"/>
          <w:numId w:val="2"/>
        </w:numPr>
        <w:tabs>
          <w:tab w:val="left" w:pos="326"/>
        </w:tabs>
        <w:spacing w:before="127"/>
        <w:ind w:hanging="203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pacing w:val="8"/>
          <w:w w:val="105"/>
          <w:sz w:val="22"/>
          <w:szCs w:val="22"/>
        </w:rPr>
        <w:t>名称</w:t>
      </w:r>
    </w:p>
    <w:p w:rsidR="000A4ACA" w:rsidRPr="00E66B88" w:rsidRDefault="000A4ACA" w:rsidP="000A4ACA">
      <w:pPr>
        <w:pStyle w:val="a6"/>
        <w:spacing w:before="78" w:line="348" w:lineRule="auto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t>项目名称：</w:t>
      </w:r>
      <w:r w:rsidRPr="00E66B88">
        <w:rPr>
          <w:rFonts w:asciiTheme="minorEastAsia" w:eastAsiaTheme="minorEastAsia" w:hAnsiTheme="minorEastAsia" w:hint="eastAsia"/>
          <w:sz w:val="22"/>
          <w:szCs w:val="22"/>
          <w:u w:val="single"/>
        </w:rPr>
        <w:t>广东省第二人民医院</w:t>
      </w:r>
      <w:r w:rsidR="00F536CB">
        <w:rPr>
          <w:rFonts w:asciiTheme="minorEastAsia" w:eastAsiaTheme="minorEastAsia" w:hAnsiTheme="minorEastAsia" w:hint="eastAsia"/>
          <w:sz w:val="22"/>
          <w:szCs w:val="22"/>
          <w:u w:val="single"/>
        </w:rPr>
        <w:t>车辆租赁</w:t>
      </w:r>
      <w:r w:rsidRPr="00E66B88">
        <w:rPr>
          <w:rFonts w:asciiTheme="minorEastAsia" w:eastAsiaTheme="minorEastAsia" w:hAnsiTheme="minorEastAsia" w:hint="eastAsia"/>
          <w:sz w:val="22"/>
          <w:szCs w:val="22"/>
          <w:u w:val="single"/>
        </w:rPr>
        <w:t>服务项目</w:t>
      </w:r>
    </w:p>
    <w:p w:rsidR="000A4ACA" w:rsidRPr="00E66B88" w:rsidRDefault="000A4ACA" w:rsidP="000A4ACA">
      <w:pPr>
        <w:pStyle w:val="a7"/>
        <w:numPr>
          <w:ilvl w:val="0"/>
          <w:numId w:val="2"/>
        </w:numPr>
        <w:tabs>
          <w:tab w:val="left" w:pos="326"/>
        </w:tabs>
        <w:spacing w:before="158" w:line="268" w:lineRule="auto"/>
        <w:ind w:left="499" w:hanging="374"/>
        <w:rPr>
          <w:rFonts w:asciiTheme="minorEastAsia" w:eastAsiaTheme="minorEastAsia" w:hAnsiTheme="minorEastAsia"/>
        </w:rPr>
      </w:pPr>
      <w:r w:rsidRPr="00E66B88">
        <w:rPr>
          <w:rFonts w:asciiTheme="minorEastAsia" w:eastAsiaTheme="minorEastAsia" w:hAnsiTheme="minorEastAsia" w:hint="eastAsia"/>
          <w:b/>
          <w:spacing w:val="11"/>
        </w:rPr>
        <w:t>项目内容及需求情况（技术规格、参数及要求，需要落实的政府招标政策</w:t>
      </w:r>
      <w:r w:rsidRPr="00E66B88">
        <w:rPr>
          <w:rFonts w:asciiTheme="minorEastAsia" w:eastAsiaTheme="minorEastAsia" w:hAnsiTheme="minorEastAsia" w:hint="eastAsia"/>
          <w:b/>
        </w:rPr>
        <w:t xml:space="preserve">） </w:t>
      </w:r>
    </w:p>
    <w:p w:rsidR="000A4ACA" w:rsidRPr="00E66B88" w:rsidRDefault="000A4ACA" w:rsidP="000A4ACA">
      <w:pPr>
        <w:pStyle w:val="a6"/>
        <w:spacing w:before="78" w:line="350" w:lineRule="auto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t>采购内容：</w:t>
      </w:r>
    </w:p>
    <w:p w:rsidR="000A4ACA" w:rsidRPr="00E66B88" w:rsidRDefault="000A4ACA" w:rsidP="000A4ACA">
      <w:pPr>
        <w:pStyle w:val="a6"/>
        <w:spacing w:before="78" w:line="350" w:lineRule="auto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t>（一）业务租车，主要用于采购在市内或跨</w:t>
      </w:r>
      <w:proofErr w:type="gramStart"/>
      <w:r w:rsidRPr="00E66B88">
        <w:rPr>
          <w:rFonts w:asciiTheme="minorEastAsia" w:eastAsiaTheme="minorEastAsia" w:hAnsiTheme="minorEastAsia" w:hint="eastAsia"/>
          <w:sz w:val="22"/>
          <w:szCs w:val="22"/>
        </w:rPr>
        <w:t>城范围</w:t>
      </w:r>
      <w:proofErr w:type="gramEnd"/>
      <w:r w:rsidRPr="00E66B88">
        <w:rPr>
          <w:rFonts w:asciiTheme="minorEastAsia" w:eastAsiaTheme="minorEastAsia" w:hAnsiTheme="minorEastAsia" w:hint="eastAsia"/>
          <w:sz w:val="22"/>
          <w:szCs w:val="22"/>
        </w:rPr>
        <w:t>的业务出行（无需配驾驶员）。</w:t>
      </w:r>
    </w:p>
    <w:p w:rsidR="000A4ACA" w:rsidRPr="00E66B88" w:rsidRDefault="000A4ACA" w:rsidP="000A4ACA">
      <w:pPr>
        <w:pStyle w:val="a6"/>
        <w:spacing w:before="78" w:line="350" w:lineRule="auto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t>（二）租车车型：别</w:t>
      </w:r>
      <w:proofErr w:type="gramStart"/>
      <w:r w:rsidRPr="00E66B88">
        <w:rPr>
          <w:rFonts w:asciiTheme="minorEastAsia" w:eastAsiaTheme="minorEastAsia" w:hAnsiTheme="minorEastAsia" w:hint="eastAsia"/>
          <w:sz w:val="22"/>
          <w:szCs w:val="22"/>
        </w:rPr>
        <w:t>克品牌</w:t>
      </w:r>
      <w:proofErr w:type="gramEnd"/>
      <w:r w:rsidRPr="00E66B88">
        <w:rPr>
          <w:rFonts w:asciiTheme="minorEastAsia" w:eastAsiaTheme="minorEastAsia" w:hAnsiTheme="minorEastAsia" w:hint="eastAsia"/>
          <w:sz w:val="22"/>
          <w:szCs w:val="22"/>
        </w:rPr>
        <w:t>2.0T或3.0以下排量7</w:t>
      </w:r>
      <w:proofErr w:type="gramStart"/>
      <w:r w:rsidRPr="00E66B88">
        <w:rPr>
          <w:rFonts w:asciiTheme="minorEastAsia" w:eastAsiaTheme="minorEastAsia" w:hAnsiTheme="minorEastAsia" w:hint="eastAsia"/>
          <w:sz w:val="22"/>
          <w:szCs w:val="22"/>
        </w:rPr>
        <w:t>座商务</w:t>
      </w:r>
      <w:proofErr w:type="gramEnd"/>
      <w:r w:rsidRPr="00E66B88">
        <w:rPr>
          <w:rFonts w:asciiTheme="minorEastAsia" w:eastAsiaTheme="minorEastAsia" w:hAnsiTheme="minorEastAsia" w:hint="eastAsia"/>
          <w:sz w:val="22"/>
          <w:szCs w:val="22"/>
        </w:rPr>
        <w:t>车。</w:t>
      </w:r>
    </w:p>
    <w:p w:rsidR="000A4ACA" w:rsidRPr="00E66B88" w:rsidRDefault="000A4ACA" w:rsidP="000A4ACA">
      <w:pPr>
        <w:pStyle w:val="a6"/>
        <w:spacing w:before="78" w:line="350" w:lineRule="auto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t>（三）车辆数量：</w:t>
      </w:r>
      <w:r w:rsidRPr="00E66B8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3 </w:t>
      </w:r>
      <w:r w:rsidRPr="00E66B88">
        <w:rPr>
          <w:rFonts w:asciiTheme="minorEastAsia" w:eastAsiaTheme="minorEastAsia" w:hAnsiTheme="minorEastAsia" w:hint="eastAsia"/>
          <w:sz w:val="22"/>
          <w:szCs w:val="22"/>
        </w:rPr>
        <w:t>台。</w:t>
      </w:r>
    </w:p>
    <w:p w:rsidR="000A4ACA" w:rsidRPr="00E66B88" w:rsidRDefault="000A4ACA" w:rsidP="000A4ACA">
      <w:pPr>
        <w:pStyle w:val="a6"/>
        <w:spacing w:before="78" w:line="350" w:lineRule="auto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t>（四）其他要求：车龄</w:t>
      </w:r>
      <w:r w:rsidRPr="00E66B88">
        <w:rPr>
          <w:rFonts w:asciiTheme="minorEastAsia" w:eastAsiaTheme="minorEastAsia" w:hAnsiTheme="minorEastAsia" w:hint="eastAsia"/>
          <w:sz w:val="22"/>
          <w:szCs w:val="22"/>
          <w:u w:val="single"/>
        </w:rPr>
        <w:t>3</w:t>
      </w:r>
      <w:r w:rsidRPr="00E66B88">
        <w:rPr>
          <w:rFonts w:asciiTheme="minorEastAsia" w:eastAsiaTheme="minorEastAsia" w:hAnsiTheme="minorEastAsia" w:hint="eastAsia"/>
          <w:sz w:val="22"/>
          <w:szCs w:val="22"/>
        </w:rPr>
        <w:t>年以内，或行驶里程</w:t>
      </w:r>
      <w:r w:rsidRPr="00E66B88">
        <w:rPr>
          <w:rFonts w:asciiTheme="minorEastAsia" w:eastAsiaTheme="minorEastAsia" w:hAnsiTheme="minorEastAsia" w:hint="eastAsia"/>
          <w:sz w:val="22"/>
          <w:szCs w:val="22"/>
          <w:u w:val="single"/>
        </w:rPr>
        <w:t>10</w:t>
      </w:r>
      <w:r w:rsidRPr="00E66B88">
        <w:rPr>
          <w:rFonts w:asciiTheme="minorEastAsia" w:eastAsiaTheme="minorEastAsia" w:hAnsiTheme="minorEastAsia" w:hint="eastAsia"/>
          <w:sz w:val="22"/>
          <w:szCs w:val="22"/>
        </w:rPr>
        <w:t>万公里以内的车辆。</w:t>
      </w:r>
    </w:p>
    <w:p w:rsidR="000A4ACA" w:rsidRPr="00E66B88" w:rsidRDefault="000A4ACA" w:rsidP="000A4ACA">
      <w:pPr>
        <w:pStyle w:val="a6"/>
        <w:spacing w:before="78" w:line="350" w:lineRule="auto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t>合同履行期限：自合同生效之日计起为期</w:t>
      </w:r>
      <w:r w:rsidRPr="00E66B88">
        <w:rPr>
          <w:rFonts w:asciiTheme="minorEastAsia" w:eastAsiaTheme="minorEastAsia" w:hAnsiTheme="minorEastAsia" w:hint="eastAsia"/>
          <w:sz w:val="22"/>
          <w:szCs w:val="22"/>
          <w:u w:val="single"/>
        </w:rPr>
        <w:t>12</w:t>
      </w:r>
      <w:r w:rsidRPr="00E66B88">
        <w:rPr>
          <w:rFonts w:asciiTheme="minorEastAsia" w:eastAsiaTheme="minorEastAsia" w:hAnsiTheme="minorEastAsia" w:hint="eastAsia"/>
          <w:sz w:val="22"/>
          <w:szCs w:val="22"/>
        </w:rPr>
        <w:t>个月。</w:t>
      </w:r>
    </w:p>
    <w:p w:rsidR="000A4ACA" w:rsidRPr="00E66B88" w:rsidRDefault="001A4BF9" w:rsidP="00341367">
      <w:pPr>
        <w:pStyle w:val="4"/>
        <w:numPr>
          <w:ilvl w:val="0"/>
          <w:numId w:val="5"/>
        </w:numPr>
        <w:spacing w:before="4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w w:val="110"/>
          <w:sz w:val="22"/>
          <w:szCs w:val="22"/>
        </w:rPr>
        <w:t>服务商</w:t>
      </w:r>
      <w:r w:rsidR="000A4ACA" w:rsidRPr="00E66B88">
        <w:rPr>
          <w:rFonts w:asciiTheme="minorEastAsia" w:eastAsiaTheme="minorEastAsia" w:hAnsiTheme="minorEastAsia" w:hint="eastAsia"/>
          <w:w w:val="110"/>
          <w:sz w:val="22"/>
          <w:szCs w:val="22"/>
        </w:rPr>
        <w:t>的资格要求</w:t>
      </w:r>
    </w:p>
    <w:p w:rsidR="000A4ACA" w:rsidRPr="00E66B88" w:rsidRDefault="00E66B88" w:rsidP="00E66B88">
      <w:pPr>
        <w:tabs>
          <w:tab w:val="left" w:pos="806"/>
        </w:tabs>
        <w:spacing w:before="43" w:line="360" w:lineRule="auto"/>
        <w:rPr>
          <w:rFonts w:asciiTheme="minorEastAsia" w:hAnsiTheme="minorEastAsia"/>
          <w:sz w:val="22"/>
        </w:rPr>
      </w:pPr>
      <w:r w:rsidRPr="00E66B88">
        <w:rPr>
          <w:rFonts w:asciiTheme="minorEastAsia" w:hAnsiTheme="minorEastAsia" w:hint="eastAsia"/>
          <w:sz w:val="22"/>
        </w:rPr>
        <w:t>1.</w:t>
      </w:r>
      <w:r w:rsidR="000A4ACA" w:rsidRPr="00E66B88">
        <w:rPr>
          <w:rFonts w:asciiTheme="minorEastAsia" w:hAnsiTheme="minorEastAsia" w:hint="eastAsia"/>
          <w:sz w:val="22"/>
        </w:rPr>
        <w:t>具有独立承担民事责任能力的在中华人民共和国境内注册的法人，具有合法的经营权；</w:t>
      </w:r>
    </w:p>
    <w:p w:rsidR="000A4ACA" w:rsidRPr="00E66B88" w:rsidRDefault="00E66B88" w:rsidP="00E66B88">
      <w:pPr>
        <w:tabs>
          <w:tab w:val="left" w:pos="806"/>
        </w:tabs>
        <w:spacing w:before="43" w:line="360" w:lineRule="auto"/>
        <w:ind w:left="220" w:hangingChars="100" w:hanging="220"/>
        <w:rPr>
          <w:rFonts w:asciiTheme="minorEastAsia" w:hAnsiTheme="minorEastAsia"/>
          <w:sz w:val="22"/>
        </w:rPr>
      </w:pPr>
      <w:r w:rsidRPr="00E66B88">
        <w:rPr>
          <w:rFonts w:asciiTheme="minorEastAsia" w:hAnsiTheme="minorEastAsia" w:hint="eastAsia"/>
          <w:sz w:val="22"/>
        </w:rPr>
        <w:t>2.</w:t>
      </w:r>
      <w:r w:rsidR="000A4ACA" w:rsidRPr="00E66B88">
        <w:rPr>
          <w:rFonts w:asciiTheme="minorEastAsia" w:hAnsiTheme="minorEastAsia" w:hint="eastAsia"/>
          <w:sz w:val="22"/>
        </w:rPr>
        <w:t>依法取得中华人民共和国境内注册的营业执照（或事业单位法人证书，或社会团体法人登记证书，或执业许可证）、组织机构代码证和税务登记证复印件（或者“三证合一”复印件）；</w:t>
      </w:r>
    </w:p>
    <w:p w:rsidR="000A4ACA" w:rsidRPr="00E66B88" w:rsidRDefault="00E66B88" w:rsidP="00E66B88">
      <w:pPr>
        <w:tabs>
          <w:tab w:val="left" w:pos="806"/>
        </w:tabs>
        <w:spacing w:before="43" w:line="360" w:lineRule="auto"/>
        <w:ind w:left="220" w:hangingChars="100" w:hanging="220"/>
        <w:rPr>
          <w:rFonts w:asciiTheme="minorEastAsia" w:hAnsiTheme="minorEastAsia"/>
          <w:sz w:val="22"/>
        </w:rPr>
      </w:pPr>
      <w:r w:rsidRPr="00E66B88">
        <w:rPr>
          <w:rFonts w:asciiTheme="minorEastAsia" w:hAnsiTheme="minorEastAsia" w:hint="eastAsia"/>
          <w:sz w:val="22"/>
        </w:rPr>
        <w:t>3.</w:t>
      </w:r>
      <w:r w:rsidR="000A4ACA" w:rsidRPr="00E66B88">
        <w:rPr>
          <w:rFonts w:asciiTheme="minorEastAsia" w:hAnsiTheme="minorEastAsia" w:hint="eastAsia"/>
          <w:sz w:val="22"/>
        </w:rPr>
        <w:t>信用记录：</w:t>
      </w:r>
      <w:r w:rsidR="001F4DB0">
        <w:rPr>
          <w:rFonts w:asciiTheme="minorEastAsia" w:hAnsiTheme="minorEastAsia" w:hint="eastAsia"/>
          <w:sz w:val="22"/>
        </w:rPr>
        <w:t>服务商</w:t>
      </w:r>
      <w:r w:rsidR="000A4ACA" w:rsidRPr="00E66B88">
        <w:rPr>
          <w:rFonts w:asciiTheme="minorEastAsia" w:hAnsiTheme="minorEastAsia" w:hint="eastAsia"/>
          <w:sz w:val="22"/>
        </w:rPr>
        <w:t>未被列入失信被执行人、重大税收违法案件当事人名单、政府招标严重违法失信行为记录名单及其他不符合规定条件的</w:t>
      </w:r>
      <w:r w:rsidR="001A4BF9">
        <w:rPr>
          <w:rFonts w:asciiTheme="minorEastAsia" w:hAnsiTheme="minorEastAsia" w:hint="eastAsia"/>
          <w:sz w:val="22"/>
        </w:rPr>
        <w:t>服务商</w:t>
      </w:r>
      <w:r w:rsidR="000A4ACA" w:rsidRPr="00E66B88">
        <w:rPr>
          <w:rFonts w:asciiTheme="minorEastAsia" w:hAnsiTheme="minorEastAsia" w:hint="eastAsia"/>
          <w:sz w:val="22"/>
        </w:rPr>
        <w:t>以招标代理机构在投标截止日当天在“信用中国”网站（</w:t>
      </w:r>
      <w:hyperlink r:id="rId7" w:history="1">
        <w:r w:rsidR="000A4ACA" w:rsidRPr="00E66B88">
          <w:rPr>
            <w:rStyle w:val="a5"/>
            <w:rFonts w:asciiTheme="minorEastAsia" w:hAnsiTheme="minorEastAsia" w:hint="eastAsia"/>
            <w:sz w:val="22"/>
          </w:rPr>
          <w:t>www.creditchina.gov.cn</w:t>
        </w:r>
      </w:hyperlink>
      <w:r w:rsidR="000A4ACA" w:rsidRPr="00E66B88">
        <w:rPr>
          <w:rFonts w:asciiTheme="minorEastAsia" w:hAnsiTheme="minorEastAsia" w:hint="eastAsia"/>
          <w:sz w:val="22"/>
        </w:rPr>
        <w:t>）及中国政府招标  网(www.ccgp.gov.cn)查询结果为准，注：</w:t>
      </w:r>
      <w:proofErr w:type="gramStart"/>
      <w:r w:rsidR="000A4ACA" w:rsidRPr="00E66B88">
        <w:rPr>
          <w:rFonts w:asciiTheme="minorEastAsia" w:hAnsiTheme="minorEastAsia" w:hint="eastAsia"/>
          <w:sz w:val="22"/>
        </w:rPr>
        <w:t>若</w:t>
      </w:r>
      <w:r w:rsidR="001F4DB0">
        <w:rPr>
          <w:rFonts w:asciiTheme="minorEastAsia" w:hAnsiTheme="minorEastAsia" w:hint="eastAsia"/>
          <w:sz w:val="22"/>
        </w:rPr>
        <w:t>服务</w:t>
      </w:r>
      <w:proofErr w:type="gramEnd"/>
      <w:r w:rsidR="001F4DB0">
        <w:rPr>
          <w:rFonts w:asciiTheme="minorEastAsia" w:hAnsiTheme="minorEastAsia" w:hint="eastAsia"/>
          <w:sz w:val="22"/>
        </w:rPr>
        <w:t>商</w:t>
      </w:r>
      <w:r w:rsidR="000A4ACA" w:rsidRPr="00E66B88">
        <w:rPr>
          <w:rFonts w:asciiTheme="minorEastAsia" w:hAnsiTheme="minorEastAsia" w:hint="eastAsia"/>
          <w:sz w:val="22"/>
        </w:rPr>
        <w:t>为分支机构的，同时对该分支机构所属总公司（总所）进行信用记录查</w:t>
      </w:r>
      <w:r w:rsidR="00F536CB">
        <w:rPr>
          <w:rFonts w:asciiTheme="minorEastAsia" w:hAnsiTheme="minorEastAsia" w:hint="eastAsia"/>
          <w:sz w:val="22"/>
        </w:rPr>
        <w:t xml:space="preserve"> </w:t>
      </w:r>
      <w:proofErr w:type="gramStart"/>
      <w:r w:rsidR="000A4ACA" w:rsidRPr="00E66B88">
        <w:rPr>
          <w:rFonts w:asciiTheme="minorEastAsia" w:hAnsiTheme="minorEastAsia" w:hint="eastAsia"/>
          <w:sz w:val="22"/>
        </w:rPr>
        <w:t>询</w:t>
      </w:r>
      <w:proofErr w:type="gramEnd"/>
      <w:r w:rsidR="000A4ACA" w:rsidRPr="00E66B88">
        <w:rPr>
          <w:rFonts w:asciiTheme="minorEastAsia" w:hAnsiTheme="minorEastAsia" w:hint="eastAsia"/>
          <w:sz w:val="22"/>
        </w:rPr>
        <w:t>，该分支机构所属总公司(总所）存在不良信用记录的，视同</w:t>
      </w:r>
      <w:r w:rsidR="001F4DB0">
        <w:rPr>
          <w:rFonts w:asciiTheme="minorEastAsia" w:hAnsiTheme="minorEastAsia" w:hint="eastAsia"/>
          <w:sz w:val="22"/>
        </w:rPr>
        <w:t>服务</w:t>
      </w:r>
      <w:proofErr w:type="gramStart"/>
      <w:r w:rsidR="001F4DB0">
        <w:rPr>
          <w:rFonts w:asciiTheme="minorEastAsia" w:hAnsiTheme="minorEastAsia" w:hint="eastAsia"/>
          <w:sz w:val="22"/>
        </w:rPr>
        <w:t>商</w:t>
      </w:r>
      <w:r w:rsidR="000A4ACA" w:rsidRPr="00E66B88">
        <w:rPr>
          <w:rFonts w:asciiTheme="minorEastAsia" w:hAnsiTheme="minorEastAsia" w:hint="eastAsia"/>
          <w:sz w:val="22"/>
        </w:rPr>
        <w:t>存在</w:t>
      </w:r>
      <w:proofErr w:type="gramEnd"/>
      <w:r w:rsidR="000A4ACA" w:rsidRPr="00E66B88">
        <w:rPr>
          <w:rFonts w:asciiTheme="minorEastAsia" w:hAnsiTheme="minorEastAsia" w:hint="eastAsia"/>
          <w:sz w:val="22"/>
        </w:rPr>
        <w:t>不良信用记录。</w:t>
      </w:r>
    </w:p>
    <w:p w:rsidR="00E66B88" w:rsidRPr="00E66B88" w:rsidRDefault="00E66B88" w:rsidP="00E66B88">
      <w:pPr>
        <w:tabs>
          <w:tab w:val="left" w:pos="806"/>
        </w:tabs>
        <w:spacing w:before="43" w:line="360" w:lineRule="auto"/>
        <w:rPr>
          <w:sz w:val="20"/>
        </w:rPr>
        <w:sectPr w:rsidR="00E66B88" w:rsidRPr="00E66B88">
          <w:pgSz w:w="11900" w:h="16840"/>
          <w:pgMar w:top="1440" w:right="1800" w:bottom="1440" w:left="1800" w:header="0" w:footer="283" w:gutter="0"/>
          <w:cols w:space="720"/>
        </w:sectPr>
      </w:pPr>
    </w:p>
    <w:p w:rsidR="000A4ACA" w:rsidRPr="00E66B88" w:rsidRDefault="004A1C22" w:rsidP="004A1C22">
      <w:pPr>
        <w:pStyle w:val="4"/>
        <w:spacing w:before="72"/>
        <w:ind w:left="0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lastRenderedPageBreak/>
        <w:t>三、</w:t>
      </w:r>
      <w:r w:rsidR="000A4ACA" w:rsidRPr="00E66B88">
        <w:rPr>
          <w:rFonts w:asciiTheme="minorEastAsia" w:eastAsiaTheme="minorEastAsia" w:hAnsiTheme="minorEastAsia" w:hint="eastAsia"/>
          <w:sz w:val="22"/>
          <w:szCs w:val="22"/>
        </w:rPr>
        <w:t>项目概况：</w:t>
      </w:r>
    </w:p>
    <w:p w:rsidR="000A4ACA" w:rsidRPr="00E66B88" w:rsidRDefault="000A4ACA" w:rsidP="000A4ACA">
      <w:pPr>
        <w:pStyle w:val="a6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8606" w:type="dxa"/>
        <w:jc w:val="center"/>
        <w:tblInd w:w="-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63"/>
        <w:gridCol w:w="1615"/>
        <w:gridCol w:w="2928"/>
      </w:tblGrid>
      <w:tr w:rsidR="000A4ACA" w:rsidRPr="00E66B88" w:rsidTr="00E66B88">
        <w:trPr>
          <w:trHeight w:val="370"/>
          <w:jc w:val="center"/>
        </w:trPr>
        <w:tc>
          <w:tcPr>
            <w:tcW w:w="40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ACA" w:rsidRPr="00E66B88" w:rsidRDefault="000A4ACA" w:rsidP="004A1C22">
            <w:pPr>
              <w:pStyle w:val="TableParagraph"/>
              <w:spacing w:before="83"/>
              <w:ind w:left="1192" w:right="1193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66B88">
              <w:rPr>
                <w:rFonts w:asciiTheme="minorEastAsia" w:eastAsiaTheme="minorEastAsia" w:hAnsiTheme="minorEastAsia" w:hint="eastAsia"/>
                <w:b/>
                <w:kern w:val="2"/>
              </w:rPr>
              <w:t>项目内容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ACA" w:rsidRPr="00E66B88" w:rsidRDefault="000A4ACA" w:rsidP="004A1C22">
            <w:pPr>
              <w:pStyle w:val="TableParagraph"/>
              <w:spacing w:before="83"/>
              <w:ind w:left="453" w:right="454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66B88">
              <w:rPr>
                <w:rFonts w:asciiTheme="minorEastAsia" w:eastAsiaTheme="minorEastAsia" w:hAnsiTheme="minorEastAsia" w:hint="eastAsia"/>
                <w:b/>
                <w:kern w:val="2"/>
              </w:rPr>
              <w:t>服务期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ACA" w:rsidRPr="00E66B88" w:rsidRDefault="000A4ACA" w:rsidP="004A1C22">
            <w:pPr>
              <w:pStyle w:val="TableParagraph"/>
              <w:spacing w:before="83"/>
              <w:ind w:left="499" w:right="502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66B88">
              <w:rPr>
                <w:rFonts w:asciiTheme="minorEastAsia" w:eastAsiaTheme="minorEastAsia" w:hAnsiTheme="minorEastAsia" w:hint="eastAsia"/>
                <w:b/>
                <w:kern w:val="2"/>
              </w:rPr>
              <w:t>标的所属行业</w:t>
            </w:r>
          </w:p>
        </w:tc>
      </w:tr>
      <w:tr w:rsidR="000A4ACA" w:rsidRPr="00E66B88" w:rsidTr="00E66B88">
        <w:trPr>
          <w:trHeight w:val="370"/>
          <w:jc w:val="center"/>
        </w:trPr>
        <w:tc>
          <w:tcPr>
            <w:tcW w:w="40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ACA" w:rsidRPr="00E66B88" w:rsidRDefault="000A4ACA" w:rsidP="004A1C22">
            <w:pPr>
              <w:pStyle w:val="TableParagraph"/>
              <w:spacing w:before="85"/>
              <w:ind w:left="1214" w:right="119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66B88">
              <w:rPr>
                <w:rFonts w:asciiTheme="minorEastAsia" w:eastAsiaTheme="minorEastAsia" w:hAnsiTheme="minorEastAsia" w:hint="eastAsia"/>
                <w:w w:val="105"/>
                <w:kern w:val="2"/>
              </w:rPr>
              <w:t>别克车租赁服务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ACA" w:rsidRPr="00E66B88" w:rsidRDefault="000A4ACA" w:rsidP="004A1C22">
            <w:pPr>
              <w:pStyle w:val="TableParagraph"/>
              <w:spacing w:before="53"/>
              <w:ind w:left="453" w:right="432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66B88">
              <w:rPr>
                <w:rFonts w:asciiTheme="minorEastAsia" w:eastAsiaTheme="minorEastAsia" w:hAnsiTheme="minorEastAsia" w:hint="eastAsia"/>
                <w:w w:val="110"/>
                <w:kern w:val="2"/>
              </w:rPr>
              <w:t>1年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ACA" w:rsidRPr="00E66B88" w:rsidRDefault="000A4ACA" w:rsidP="004A1C22">
            <w:pPr>
              <w:pStyle w:val="TableParagraph"/>
              <w:spacing w:before="85"/>
              <w:ind w:left="519" w:right="502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66B88">
              <w:rPr>
                <w:rFonts w:asciiTheme="minorEastAsia" w:eastAsiaTheme="minorEastAsia" w:hAnsiTheme="minorEastAsia" w:hint="eastAsia"/>
                <w:w w:val="105"/>
                <w:kern w:val="2"/>
              </w:rPr>
              <w:t>小汽车租赁服务业</w:t>
            </w:r>
          </w:p>
        </w:tc>
      </w:tr>
    </w:tbl>
    <w:p w:rsidR="000A4ACA" w:rsidRDefault="000A4ACA" w:rsidP="000A4ACA">
      <w:pPr>
        <w:tabs>
          <w:tab w:val="left" w:pos="700"/>
        </w:tabs>
        <w:spacing w:before="118" w:line="360" w:lineRule="auto"/>
        <w:rPr>
          <w:b/>
          <w:sz w:val="22"/>
          <w:szCs w:val="21"/>
        </w:rPr>
      </w:pPr>
    </w:p>
    <w:p w:rsidR="000A4ACA" w:rsidRDefault="000A4ACA" w:rsidP="000A4ACA">
      <w:pPr>
        <w:spacing w:before="118"/>
        <w:ind w:left="3211" w:right="2884"/>
        <w:jc w:val="center"/>
        <w:rPr>
          <w:b/>
          <w:sz w:val="22"/>
          <w:szCs w:val="21"/>
        </w:rPr>
      </w:pPr>
    </w:p>
    <w:p w:rsidR="000A4ACA" w:rsidRDefault="000A4ACA" w:rsidP="000A4ACA">
      <w:pPr>
        <w:spacing w:before="118"/>
        <w:ind w:left="3211" w:right="2884"/>
        <w:jc w:val="center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报价明细表格式</w:t>
      </w:r>
    </w:p>
    <w:p w:rsidR="000A4ACA" w:rsidRDefault="000A4ACA" w:rsidP="000A4ACA">
      <w:pPr>
        <w:spacing w:before="118"/>
        <w:ind w:left="3211" w:right="2884"/>
        <w:jc w:val="center"/>
        <w:rPr>
          <w:b/>
          <w:sz w:val="22"/>
          <w:szCs w:val="21"/>
        </w:rPr>
      </w:pPr>
    </w:p>
    <w:tbl>
      <w:tblPr>
        <w:tblW w:w="10163" w:type="dxa"/>
        <w:jc w:val="center"/>
        <w:tblInd w:w="-30" w:type="dxa"/>
        <w:tblLook w:val="04A0"/>
      </w:tblPr>
      <w:tblGrid>
        <w:gridCol w:w="1283"/>
        <w:gridCol w:w="1160"/>
        <w:gridCol w:w="1160"/>
        <w:gridCol w:w="1640"/>
        <w:gridCol w:w="1640"/>
        <w:gridCol w:w="1640"/>
        <w:gridCol w:w="1640"/>
      </w:tblGrid>
      <w:tr w:rsidR="000A4ACA" w:rsidTr="000A4ACA">
        <w:trPr>
          <w:trHeight w:val="100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数量（辆）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累计行驶里程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车辆注册日期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单价限价  （元/辆/月）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F60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报价    </w:t>
            </w:r>
            <w:r w:rsidR="000A4A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（元/辆/月）</w:t>
            </w:r>
          </w:p>
        </w:tc>
      </w:tr>
      <w:tr w:rsidR="000A4ACA" w:rsidTr="000A4ACA">
        <w:trPr>
          <w:trHeight w:val="1002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座商务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10万公里以内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三年以内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A" w:rsidRDefault="000A4ACA">
            <w:pPr>
              <w:widowControl/>
              <w:jc w:val="left"/>
              <w:rPr>
                <w:rFonts w:eastAsia="宋体"/>
              </w:rPr>
            </w:pPr>
          </w:p>
        </w:tc>
      </w:tr>
      <w:tr w:rsidR="000A4ACA" w:rsidTr="000A4ACA">
        <w:trPr>
          <w:trHeight w:val="1002"/>
          <w:jc w:val="center"/>
        </w:trPr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ACA" w:rsidRPr="00E66B88" w:rsidRDefault="000A4A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66B8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备注：</w:t>
            </w:r>
            <w:proofErr w:type="gramStart"/>
            <w:r w:rsidRPr="00E66B8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结算按</w:t>
            </w:r>
            <w:proofErr w:type="gramEnd"/>
            <w:r w:rsidRPr="00E66B8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实际发生数计算，按月结算，以上报价包含增值税发票税金及管理费等。</w:t>
            </w:r>
          </w:p>
        </w:tc>
      </w:tr>
    </w:tbl>
    <w:p w:rsidR="000A4ACA" w:rsidRDefault="000A4ACA" w:rsidP="000A4ACA">
      <w:pPr>
        <w:pStyle w:val="a6"/>
        <w:rPr>
          <w:b/>
          <w:sz w:val="21"/>
          <w:lang w:val="en-US"/>
        </w:rPr>
      </w:pPr>
    </w:p>
    <w:p w:rsidR="002903D9" w:rsidRDefault="002903D9" w:rsidP="000A4ACA">
      <w:pPr>
        <w:pStyle w:val="a6"/>
        <w:rPr>
          <w:b/>
          <w:sz w:val="21"/>
          <w:lang w:val="en-US"/>
        </w:rPr>
      </w:pPr>
    </w:p>
    <w:p w:rsidR="002903D9" w:rsidRDefault="002903D9" w:rsidP="000A4ACA">
      <w:pPr>
        <w:pStyle w:val="a6"/>
        <w:rPr>
          <w:b/>
          <w:sz w:val="21"/>
          <w:lang w:val="en-US"/>
        </w:rPr>
      </w:pPr>
    </w:p>
    <w:p w:rsidR="002903D9" w:rsidRDefault="002903D9" w:rsidP="000A4ACA">
      <w:pPr>
        <w:pStyle w:val="a6"/>
        <w:rPr>
          <w:b/>
          <w:sz w:val="21"/>
          <w:lang w:val="en-US"/>
        </w:rPr>
      </w:pPr>
    </w:p>
    <w:p w:rsidR="000A4ACA" w:rsidRDefault="000A4ACA" w:rsidP="000A4ACA">
      <w:pPr>
        <w:widowControl/>
        <w:rPr>
          <w:sz w:val="20"/>
          <w:szCs w:val="18"/>
        </w:rPr>
      </w:pPr>
    </w:p>
    <w:p w:rsidR="000A4ACA" w:rsidRPr="00E66B88" w:rsidRDefault="004A1C22" w:rsidP="004A1C22">
      <w:pPr>
        <w:pStyle w:val="3"/>
        <w:ind w:left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E66B88">
        <w:rPr>
          <w:rFonts w:asciiTheme="minorEastAsia" w:eastAsiaTheme="minorEastAsia" w:hAnsiTheme="minorEastAsia" w:hint="eastAsia"/>
          <w:sz w:val="22"/>
          <w:szCs w:val="22"/>
        </w:rPr>
        <w:lastRenderedPageBreak/>
        <w:t>四、</w:t>
      </w:r>
      <w:r w:rsidR="000A4ACA" w:rsidRPr="00E66B88">
        <w:rPr>
          <w:rFonts w:asciiTheme="minorEastAsia" w:eastAsiaTheme="minorEastAsia" w:hAnsiTheme="minorEastAsia" w:hint="eastAsia"/>
          <w:sz w:val="22"/>
          <w:szCs w:val="22"/>
        </w:rPr>
        <w:t>服务内容</w:t>
      </w:r>
    </w:p>
    <w:p w:rsidR="000A4ACA" w:rsidRPr="00E66B88" w:rsidRDefault="004A1C22" w:rsidP="00E66B88">
      <w:pPr>
        <w:spacing w:line="360" w:lineRule="auto"/>
        <w:ind w:left="220" w:hangingChars="100" w:hanging="220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hint="eastAsia"/>
          <w:sz w:val="22"/>
        </w:rPr>
        <w:t>1.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="000A4ACA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的报价应包含车辆相关保险、年审、维修保养、年票、税费、租赁费、购置第三者商业险赔付额度不低于100万元。中标后，需提供车辆的行驶证、保险等证明。如</w:t>
      </w:r>
      <w:r w:rsidR="00F605A4">
        <w:rPr>
          <w:rFonts w:asciiTheme="minorEastAsia" w:hAnsiTheme="minorEastAsia" w:cs="宋体" w:hint="eastAsia"/>
          <w:kern w:val="0"/>
          <w:sz w:val="22"/>
          <w:lang w:val="zh-CN" w:bidi="zh-CN"/>
        </w:rPr>
        <w:t>成交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="000A4ACA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在签署合同后，在项目实施过程中出现任何遗漏，均</w:t>
      </w:r>
      <w:proofErr w:type="gramStart"/>
      <w:r w:rsidR="000A4ACA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由</w:t>
      </w:r>
      <w:r w:rsidR="00F605A4">
        <w:rPr>
          <w:rFonts w:asciiTheme="minorEastAsia" w:hAnsiTheme="minorEastAsia" w:cs="宋体" w:hint="eastAsia"/>
          <w:kern w:val="0"/>
          <w:sz w:val="22"/>
          <w:lang w:val="zh-CN" w:bidi="zh-CN"/>
        </w:rPr>
        <w:t>成交</w:t>
      </w:r>
      <w:proofErr w:type="gramEnd"/>
      <w:r w:rsidR="00F605A4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="000A4ACA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负责，用户不再支付任何费用。</w:t>
      </w:r>
    </w:p>
    <w:p w:rsidR="00813303" w:rsidRPr="00E66B88" w:rsidRDefault="00636039" w:rsidP="00E66B88">
      <w:pPr>
        <w:spacing w:line="360" w:lineRule="auto"/>
        <w:ind w:left="220" w:hangingChars="100" w:hanging="220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hint="eastAsia"/>
          <w:sz w:val="22"/>
        </w:rPr>
        <w:t>2.</w:t>
      </w:r>
      <w:r w:rsidR="001F4DB0">
        <w:rPr>
          <w:rFonts w:asciiTheme="minorEastAsia" w:hAnsiTheme="minorEastAsia" w:cs="宋体" w:hint="eastAsia"/>
          <w:kern w:val="0"/>
          <w:sz w:val="22"/>
          <w:lang w:bidi="zh-CN"/>
        </w:rPr>
        <w:t>服务商</w:t>
      </w:r>
      <w:r w:rsidR="00F605A4">
        <w:rPr>
          <w:rFonts w:asciiTheme="minorEastAsia" w:hAnsiTheme="minorEastAsia" w:cs="宋体"/>
          <w:kern w:val="0"/>
          <w:sz w:val="22"/>
          <w:lang w:val="zh-CN" w:bidi="zh-CN"/>
        </w:rPr>
        <w:t>须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向用户提供5-53座多种车型的临时用车服务</w:t>
      </w:r>
      <w:r w:rsidR="00813303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，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包括：（1）用户提出线路、班次、停靠站点、发车时间等方面的要求，</w:t>
      </w:r>
      <w:r w:rsidR="001F4DB0">
        <w:rPr>
          <w:rFonts w:asciiTheme="minorEastAsia" w:hAnsiTheme="minorEastAsia" w:cs="宋体"/>
          <w:kern w:val="0"/>
          <w:sz w:val="22"/>
          <w:lang w:val="zh-CN" w:bidi="zh-CN"/>
        </w:rPr>
        <w:t>服务商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可提供调整（增加或减少线路、班次、停靠站点、发车时间等）建议供用户参考</w:t>
      </w:r>
      <w:r w:rsidR="00813303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；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（2）按照双方商议的线路、班次提供适合车辆、驾驶员服务。</w:t>
      </w:r>
      <w:r w:rsidR="00EB3C77">
        <w:rPr>
          <w:rFonts w:asciiTheme="minorEastAsia" w:hAnsiTheme="minorEastAsia" w:cs="宋体" w:hint="eastAsia"/>
          <w:kern w:val="0"/>
          <w:sz w:val="22"/>
          <w:lang w:val="zh-CN" w:bidi="zh-CN"/>
        </w:rPr>
        <w:t>（费用</w:t>
      </w:r>
      <w:r w:rsidR="00366A20">
        <w:rPr>
          <w:rFonts w:asciiTheme="minorEastAsia" w:hAnsiTheme="minorEastAsia" w:cs="宋体" w:hint="eastAsia"/>
          <w:kern w:val="0"/>
          <w:sz w:val="22"/>
          <w:lang w:val="zh-CN" w:bidi="zh-CN"/>
        </w:rPr>
        <w:t>限价详见附件1</w:t>
      </w:r>
      <w:r w:rsidR="00EB3C77">
        <w:rPr>
          <w:rFonts w:asciiTheme="minorEastAsia" w:hAnsiTheme="minorEastAsia" w:cs="宋体" w:hint="eastAsia"/>
          <w:kern w:val="0"/>
          <w:sz w:val="22"/>
          <w:lang w:val="zh-CN" w:bidi="zh-CN"/>
        </w:rPr>
        <w:t>。）</w:t>
      </w:r>
    </w:p>
    <w:p w:rsidR="00813303" w:rsidRPr="00E66B88" w:rsidRDefault="00813303" w:rsidP="00E66B88">
      <w:pPr>
        <w:spacing w:line="360" w:lineRule="auto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3.</w:t>
      </w:r>
      <w:r w:rsidR="001F4DB0">
        <w:rPr>
          <w:rFonts w:asciiTheme="minorEastAsia" w:hAnsiTheme="minorEastAsia" w:cs="宋体"/>
          <w:kern w:val="0"/>
          <w:sz w:val="22"/>
          <w:lang w:val="zh-CN" w:bidi="zh-CN"/>
        </w:rPr>
        <w:t>服务商</w:t>
      </w:r>
      <w:r w:rsidR="00F605A4">
        <w:rPr>
          <w:rFonts w:asciiTheme="minorEastAsia" w:hAnsiTheme="minorEastAsia" w:cs="宋体" w:hint="eastAsia"/>
          <w:kern w:val="0"/>
          <w:sz w:val="22"/>
          <w:lang w:val="zh-CN" w:bidi="zh-CN"/>
        </w:rPr>
        <w:t>须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提供双方约定的车型作为</w:t>
      </w: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用户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接送上下班、会议、活动等各类用车保障。</w:t>
      </w:r>
    </w:p>
    <w:p w:rsidR="00813303" w:rsidRPr="00E66B88" w:rsidRDefault="00813303" w:rsidP="00E66B88">
      <w:pPr>
        <w:spacing w:line="360" w:lineRule="auto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4.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如</w:t>
      </w: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用户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因需要向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要求临时增加班次，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应积极配合安排提供服务</w:t>
      </w: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。</w:t>
      </w:r>
    </w:p>
    <w:p w:rsidR="00813303" w:rsidRPr="00E66B88" w:rsidRDefault="00813303" w:rsidP="00E66B88">
      <w:pPr>
        <w:spacing w:line="360" w:lineRule="auto"/>
        <w:ind w:left="220" w:hangingChars="100" w:hanging="220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5.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驾驶员必须持有合格有效的驾驶证，保持良好的精神状态，礼貌对待用户，保证按时到位，保持车容整洁，安全行车</w:t>
      </w:r>
      <w:r w:rsidR="002263E9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。</w:t>
      </w:r>
    </w:p>
    <w:p w:rsidR="00813303" w:rsidRPr="00E66B88" w:rsidRDefault="00980E05" w:rsidP="00E66B88">
      <w:pPr>
        <w:spacing w:line="360" w:lineRule="auto"/>
        <w:ind w:left="220" w:hangingChars="100" w:hanging="220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6.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行车过程中因</w:t>
      </w:r>
      <w:r w:rsidR="001F4DB0">
        <w:rPr>
          <w:rFonts w:asciiTheme="minorEastAsia" w:hAnsiTheme="minorEastAsia" w:cs="宋体"/>
          <w:kern w:val="0"/>
          <w:sz w:val="22"/>
          <w:lang w:val="zh-CN" w:bidi="zh-CN"/>
        </w:rPr>
        <w:t>服务商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责任安全事故造成用户伤亡，</w:t>
      </w:r>
      <w:r w:rsidR="001F4DB0">
        <w:rPr>
          <w:rFonts w:asciiTheme="minorEastAsia" w:hAnsiTheme="minorEastAsia" w:cs="宋体"/>
          <w:kern w:val="0"/>
          <w:sz w:val="22"/>
          <w:lang w:val="zh-CN" w:bidi="zh-CN"/>
        </w:rPr>
        <w:t>服务商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必须按照国家及地方的有关法律、法规给予及时、充分的赔偿。</w:t>
      </w:r>
    </w:p>
    <w:p w:rsidR="00813303" w:rsidRPr="00E66B88" w:rsidRDefault="00980E05" w:rsidP="00E66B88">
      <w:pPr>
        <w:spacing w:line="360" w:lineRule="auto"/>
        <w:ind w:left="220" w:hangingChars="100" w:hanging="220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7.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承载9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人或以上人数车型的驾驶员均由</w:t>
      </w:r>
      <w:r w:rsidR="001F4DB0">
        <w:rPr>
          <w:rFonts w:asciiTheme="minorEastAsia" w:hAnsiTheme="minorEastAsia" w:cs="宋体"/>
          <w:kern w:val="0"/>
          <w:sz w:val="22"/>
          <w:lang w:val="zh-CN" w:bidi="zh-CN"/>
        </w:rPr>
        <w:t>服务商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提供，车辆所产生的油耗、保养、维修、税金、保险</w:t>
      </w:r>
      <w:r w:rsidR="0025653A" w:rsidRPr="00E66B88">
        <w:rPr>
          <w:rFonts w:asciiTheme="minorEastAsia" w:hAnsiTheme="minorEastAsia" w:cs="宋体"/>
          <w:kern w:val="0"/>
          <w:sz w:val="22"/>
          <w:lang w:val="zh-CN" w:bidi="zh-CN"/>
        </w:rPr>
        <w:t>均由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="0025653A" w:rsidRPr="00E66B88">
        <w:rPr>
          <w:rFonts w:asciiTheme="minorEastAsia" w:hAnsiTheme="minorEastAsia" w:cs="宋体"/>
          <w:kern w:val="0"/>
          <w:sz w:val="22"/>
          <w:lang w:val="zh-CN" w:bidi="zh-CN"/>
        </w:rPr>
        <w:t>承担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；9人以下车型驾驶员由双方协商是否配备驾驶员。驾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驶员的薪金、福利、保险、应缴税费、制服、工具以及运营过程中因</w:t>
      </w:r>
      <w:r w:rsidR="001F4DB0">
        <w:rPr>
          <w:rFonts w:asciiTheme="minorEastAsia" w:hAnsiTheme="minorEastAsia" w:cs="宋体"/>
          <w:kern w:val="0"/>
          <w:sz w:val="22"/>
          <w:lang w:val="zh-CN" w:bidi="zh-CN"/>
        </w:rPr>
        <w:t>服务商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责任所发生的交通罚款、赔偿等均由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承担。</w:t>
      </w:r>
    </w:p>
    <w:p w:rsidR="00813303" w:rsidRPr="00E66B88" w:rsidRDefault="0025653A" w:rsidP="00E66B88">
      <w:pPr>
        <w:spacing w:line="360" w:lineRule="auto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8.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必须具备从经营许可的合法资格，并保证在合同期内维持经营资格的有效性。</w:t>
      </w:r>
    </w:p>
    <w:p w:rsidR="00813303" w:rsidRPr="00E66B88" w:rsidRDefault="00EA40C6" w:rsidP="00E66B88">
      <w:pPr>
        <w:spacing w:line="360" w:lineRule="auto"/>
        <w:ind w:left="220" w:hangingChars="100" w:hanging="220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9.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由于客观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原因，造成交通堵塞、安全事故、车辆故障、驾驶员无法正常工作，</w:t>
      </w:r>
      <w:r w:rsidR="001F4DB0">
        <w:rPr>
          <w:rFonts w:asciiTheme="minorEastAsia" w:hAnsiTheme="minorEastAsia" w:cs="宋体"/>
          <w:kern w:val="0"/>
          <w:sz w:val="22"/>
          <w:lang w:val="zh-CN" w:bidi="zh-CN"/>
        </w:rPr>
        <w:t>服务商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应以最快的速度调度车辆保证按时接送。如在接送</w:t>
      </w: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用户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途中，遇坏车抛锚或其它异常突发情况，预计不能在20分钟内修复，经双方管理员联系协商并取得一致意见后</w:t>
      </w:r>
      <w:r w:rsidR="00203C7E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用户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可临时采用其他公共交通方式替代至下一行程点，开支费用经双方确认后由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="00203C7E" w:rsidRPr="00E66B88">
        <w:rPr>
          <w:rFonts w:asciiTheme="minorEastAsia" w:hAnsiTheme="minorEastAsia" w:cs="宋体"/>
          <w:kern w:val="0"/>
          <w:sz w:val="22"/>
          <w:lang w:val="zh-CN" w:bidi="zh-CN"/>
        </w:rPr>
        <w:t>承担</w:t>
      </w:r>
      <w:r w:rsidR="00203C7E"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。</w:t>
      </w:r>
      <w:r w:rsidR="00203C7E" w:rsidRPr="00E66B88">
        <w:rPr>
          <w:rFonts w:asciiTheme="minorEastAsia" w:hAnsiTheme="minorEastAsia" w:cs="宋体"/>
          <w:kern w:val="0"/>
          <w:sz w:val="22"/>
          <w:lang w:val="zh-CN" w:bidi="zh-CN"/>
        </w:rPr>
        <w:t xml:space="preserve"> </w:t>
      </w:r>
    </w:p>
    <w:p w:rsidR="008C1F7A" w:rsidRPr="002903D9" w:rsidRDefault="00203C7E" w:rsidP="002903D9">
      <w:pPr>
        <w:snapToGrid w:val="0"/>
        <w:spacing w:line="360" w:lineRule="auto"/>
        <w:ind w:left="220" w:hangingChars="100" w:hanging="220"/>
        <w:rPr>
          <w:rFonts w:asciiTheme="minorEastAsia" w:hAnsiTheme="minorEastAsia" w:cs="宋体"/>
          <w:kern w:val="0"/>
          <w:sz w:val="22"/>
          <w:lang w:val="zh-CN" w:bidi="zh-CN"/>
        </w:rPr>
      </w:pP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10.</w:t>
      </w:r>
      <w:r w:rsidR="00813303" w:rsidRPr="00E66B88">
        <w:rPr>
          <w:rFonts w:asciiTheme="minorEastAsia" w:hAnsiTheme="minorEastAsia" w:cs="宋体"/>
          <w:kern w:val="0"/>
          <w:sz w:val="22"/>
          <w:lang w:val="zh-CN" w:bidi="zh-CN"/>
        </w:rPr>
        <w:t>在合同期规定期限内，</w:t>
      </w:r>
      <w:r w:rsidR="001F4DB0">
        <w:rPr>
          <w:rFonts w:asciiTheme="minorEastAsia" w:hAnsiTheme="minorEastAsia" w:cs="宋体" w:hint="eastAsia"/>
          <w:kern w:val="0"/>
          <w:sz w:val="22"/>
          <w:lang w:val="zh-CN" w:bidi="zh-CN"/>
        </w:rPr>
        <w:t>服务商</w:t>
      </w:r>
      <w:r w:rsidRPr="00E66B88">
        <w:rPr>
          <w:rFonts w:asciiTheme="minorEastAsia" w:hAnsiTheme="minorEastAsia" w:cs="宋体"/>
          <w:kern w:val="0"/>
          <w:sz w:val="22"/>
          <w:lang w:val="zh-CN" w:bidi="zh-CN"/>
        </w:rPr>
        <w:t>因经营发展需更换或更新服务用户的车辆，应确保延续本合同服务要求，不得对用户用车保障造成任何影响</w:t>
      </w:r>
      <w:r w:rsidRPr="00E66B88">
        <w:rPr>
          <w:rFonts w:asciiTheme="minorEastAsia" w:hAnsiTheme="minorEastAsia" w:cs="宋体" w:hint="eastAsia"/>
          <w:kern w:val="0"/>
          <w:sz w:val="22"/>
          <w:lang w:val="zh-CN" w:bidi="zh-CN"/>
        </w:rPr>
        <w:t>。</w:t>
      </w:r>
    </w:p>
    <w:p w:rsidR="008C1F7A" w:rsidRDefault="008C1F7A" w:rsidP="008C1F7A">
      <w:pPr>
        <w:spacing w:line="360" w:lineRule="auto"/>
        <w:rPr>
          <w:b/>
          <w:sz w:val="22"/>
        </w:rPr>
      </w:pPr>
      <w:r w:rsidRPr="00245BE6">
        <w:rPr>
          <w:rFonts w:hint="eastAsia"/>
          <w:b/>
          <w:sz w:val="22"/>
        </w:rPr>
        <w:t>附件：</w:t>
      </w:r>
    </w:p>
    <w:tbl>
      <w:tblPr>
        <w:tblW w:w="15067" w:type="dxa"/>
        <w:jc w:val="center"/>
        <w:tblInd w:w="557" w:type="dxa"/>
        <w:tblLook w:val="04A0"/>
      </w:tblPr>
      <w:tblGrid>
        <w:gridCol w:w="503"/>
        <w:gridCol w:w="2411"/>
        <w:gridCol w:w="920"/>
        <w:gridCol w:w="1215"/>
        <w:gridCol w:w="796"/>
        <w:gridCol w:w="1119"/>
        <w:gridCol w:w="795"/>
        <w:gridCol w:w="1104"/>
        <w:gridCol w:w="795"/>
        <w:gridCol w:w="1165"/>
        <w:gridCol w:w="795"/>
        <w:gridCol w:w="1119"/>
        <w:gridCol w:w="795"/>
        <w:gridCol w:w="920"/>
        <w:gridCol w:w="615"/>
      </w:tblGrid>
      <w:tr w:rsidR="008C1F7A" w:rsidRPr="00245BE6" w:rsidTr="006B0752">
        <w:trPr>
          <w:trHeight w:val="799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序号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地区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日行参考里程</w:t>
            </w:r>
          </w:p>
        </w:tc>
        <w:tc>
          <w:tcPr>
            <w:tcW w:w="96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临时包车价格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往返用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车时间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司机配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</w:r>
            <w:proofErr w:type="gramStart"/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员标准</w:t>
            </w:r>
            <w:proofErr w:type="gramEnd"/>
          </w:p>
        </w:tc>
      </w:tr>
      <w:tr w:rsidR="008C1F7A" w:rsidRPr="00245BE6" w:rsidTr="006B0752">
        <w:trPr>
          <w:trHeight w:val="762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9座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15座/18座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33座/37座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45座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49座/53座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C1F7A" w:rsidRPr="00245BE6" w:rsidTr="006B0752">
        <w:trPr>
          <w:trHeight w:val="1099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单程/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含路费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往返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单程/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含路费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往返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单程/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含路费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往返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单程/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含路费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往返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单程/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含路费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往返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7A" w:rsidRPr="00245BE6" w:rsidRDefault="008C1F7A" w:rsidP="006B07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C1F7A" w:rsidRPr="00245BE6" w:rsidTr="006B0752">
        <w:trPr>
          <w:trHeight w:val="114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广州（海珠/越秀/</w:t>
            </w:r>
            <w:proofErr w:type="gramStart"/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荔</w:t>
            </w:r>
            <w:proofErr w:type="gramEnd"/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湾/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天河/黄埔/白云/番禺/花都）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8小时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8C1F7A" w:rsidRPr="00245BE6" w:rsidTr="006B0752">
        <w:trPr>
          <w:trHeight w:val="1039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广州（南沙/增城/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从化）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150内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8小时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8C1F7A" w:rsidRPr="00245BE6" w:rsidTr="006B0752">
        <w:trPr>
          <w:trHeight w:val="822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佛山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150内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8小时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8C1F7A" w:rsidRPr="00245BE6" w:rsidTr="006B0752">
        <w:trPr>
          <w:trHeight w:val="108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东莞、清远城区、中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山、肇庆城区、江门城区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250内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8小时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8C1F7A" w:rsidRPr="00245BE6" w:rsidTr="006B0752">
        <w:trPr>
          <w:trHeight w:val="1842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深圳、珠海、清远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（英德）、江门（台山）、开平、鹤山、恩平、肇庆（广宁、怀集）、云浮城区（新兴）、惠州城区（博罗）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350内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950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8小时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8C1F7A" w:rsidRPr="00245BE6" w:rsidTr="006B0752">
        <w:trPr>
          <w:trHeight w:val="1759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肇庆（封开、德庆）、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清远（连州）、阳江、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河源城区、惠州（惠东、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罗浮山、惠阳、龙门）、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韶关城区（翁源、新丰）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、云浮（郁南、罗定）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450内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8C1F7A" w:rsidRPr="00245BE6" w:rsidTr="006B0752">
        <w:trPr>
          <w:trHeight w:val="16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韶关（南雄、乐昌、仁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化、乳源）、梅州（兴宁、五华）、河源（紫金、龙川、连平、和平、东源）、汕尾、茂名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700内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8C1F7A" w:rsidRPr="00245BE6" w:rsidTr="006B0752">
        <w:trPr>
          <w:trHeight w:val="1219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汕头、潮州、湛江、揭</w:t>
            </w: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阳、梅州城区（平远、</w:t>
            </w:r>
            <w:proofErr w:type="gramStart"/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蕉</w:t>
            </w:r>
            <w:proofErr w:type="gramEnd"/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br/>
              <w:t>岭、大埔、丰顺）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1100内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3600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4300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A" w:rsidRPr="00245BE6" w:rsidRDefault="008C1F7A" w:rsidP="006B07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45BE6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</w:tr>
    </w:tbl>
    <w:p w:rsidR="008C1F7A" w:rsidRPr="002B4910" w:rsidRDefault="008C1F7A" w:rsidP="008C1F7A">
      <w:pPr>
        <w:pStyle w:val="a7"/>
        <w:numPr>
          <w:ilvl w:val="0"/>
          <w:numId w:val="6"/>
        </w:numPr>
        <w:ind w:left="357" w:hanging="357"/>
      </w:pPr>
      <w:r w:rsidRPr="002B4910">
        <w:rPr>
          <w:rFonts w:hint="eastAsia"/>
        </w:rPr>
        <w:t>包车价格不含高速路桥费（双程）、停车费、司机住宿费、司机餐费；</w:t>
      </w:r>
    </w:p>
    <w:p w:rsidR="008C1F7A" w:rsidRPr="002B4910" w:rsidRDefault="008C1F7A" w:rsidP="008C1F7A">
      <w:pPr>
        <w:pStyle w:val="a7"/>
        <w:numPr>
          <w:ilvl w:val="0"/>
          <w:numId w:val="6"/>
        </w:numPr>
        <w:ind w:left="357" w:hanging="357"/>
      </w:pPr>
      <w:r w:rsidRPr="002B4910">
        <w:rPr>
          <w:rFonts w:hint="eastAsia"/>
        </w:rPr>
        <w:t>法定节假日费用上浮20%；</w:t>
      </w:r>
    </w:p>
    <w:p w:rsidR="008C1F7A" w:rsidRPr="002B4910" w:rsidRDefault="008C1F7A" w:rsidP="008C1F7A">
      <w:pPr>
        <w:pStyle w:val="a7"/>
        <w:numPr>
          <w:ilvl w:val="0"/>
          <w:numId w:val="6"/>
        </w:numPr>
        <w:ind w:left="357" w:hanging="357"/>
      </w:pPr>
      <w:r w:rsidRPr="002B4910">
        <w:rPr>
          <w:rFonts w:hint="eastAsia"/>
        </w:rPr>
        <w:t>高速路费20座以下按0.6元/公里、20座及以上按1元/公里计算；</w:t>
      </w:r>
    </w:p>
    <w:p w:rsidR="008C1F7A" w:rsidRPr="002B4910" w:rsidRDefault="008C1F7A" w:rsidP="008C1F7A">
      <w:pPr>
        <w:pStyle w:val="a7"/>
        <w:numPr>
          <w:ilvl w:val="0"/>
          <w:numId w:val="6"/>
        </w:numPr>
        <w:ind w:left="357" w:hanging="357"/>
      </w:pPr>
      <w:r w:rsidRPr="002B4910">
        <w:rPr>
          <w:rFonts w:hint="eastAsia"/>
        </w:rPr>
        <w:t>以上费用为当天用车价格，若第2天在外地需继续用车的价格，20座以下加收700元/100公里，超出里程按4元/公里计算；20座及以上加收1000元/100公里，超过里程按7元/公里计算，第3天及以上的以此类推。若在外地停留无行程的价格，20座以下加收400元/天，20座及以上加收600元/天。当日行程超出参考里程，20座以下超出里程按4元/公里计算；20座及以上超过里程按7元/公里计算。</w:t>
      </w:r>
    </w:p>
    <w:p w:rsidR="008C1F7A" w:rsidRPr="00813303" w:rsidRDefault="008C1F7A" w:rsidP="00E66B88">
      <w:pPr>
        <w:spacing w:line="360" w:lineRule="auto"/>
      </w:pPr>
    </w:p>
    <w:sectPr w:rsidR="008C1F7A" w:rsidRPr="00813303" w:rsidSect="008C1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22" w:rsidRDefault="00837922" w:rsidP="000A4ACA">
      <w:r>
        <w:separator/>
      </w:r>
    </w:p>
  </w:endnote>
  <w:endnote w:type="continuationSeparator" w:id="1">
    <w:p w:rsidR="00837922" w:rsidRDefault="00837922" w:rsidP="000A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22" w:rsidRDefault="00837922" w:rsidP="000A4ACA">
      <w:r>
        <w:separator/>
      </w:r>
    </w:p>
  </w:footnote>
  <w:footnote w:type="continuationSeparator" w:id="1">
    <w:p w:rsidR="00837922" w:rsidRDefault="00837922" w:rsidP="000A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25" w:hanging="202"/>
      </w:pPr>
      <w:rPr>
        <w:rFonts w:ascii="微软雅黑" w:eastAsia="微软雅黑" w:hAnsi="微软雅黑" w:cs="微软雅黑" w:hint="eastAsia"/>
        <w:b/>
        <w:bCs/>
        <w:spacing w:val="-7"/>
        <w:w w:val="117"/>
        <w:sz w:val="16"/>
        <w:szCs w:val="16"/>
        <w:lang w:val="zh-CN" w:eastAsia="zh-CN" w:bidi="zh-CN"/>
      </w:rPr>
    </w:lvl>
    <w:lvl w:ilvl="1">
      <w:start w:val="1"/>
      <w:numFmt w:val="decimal"/>
      <w:lvlText w:val="%2）"/>
      <w:lvlJc w:val="left"/>
      <w:pPr>
        <w:ind w:left="805" w:hanging="307"/>
      </w:pPr>
      <w:rPr>
        <w:rFonts w:ascii="Arial Unicode MS" w:eastAsia="Arial Unicode MS" w:hAnsi="Arial Unicode MS" w:cs="Arial Unicode MS" w:hint="eastAsia"/>
        <w:spacing w:val="-3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15" w:hanging="307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031" w:hanging="307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146" w:hanging="307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262" w:hanging="307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377" w:hanging="307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493" w:hanging="307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608" w:hanging="307"/>
      </w:pPr>
      <w:rPr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25" w:hanging="202"/>
      </w:pPr>
      <w:rPr>
        <w:rFonts w:ascii="微软雅黑" w:eastAsia="微软雅黑" w:hAnsi="微软雅黑" w:cs="微软雅黑" w:hint="eastAsia"/>
        <w:b/>
        <w:bCs/>
        <w:spacing w:val="-7"/>
        <w:w w:val="117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1372" w:hanging="202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2424" w:hanging="202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476" w:hanging="202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528" w:hanging="202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580" w:hanging="202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632" w:hanging="202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684" w:hanging="202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736" w:hanging="202"/>
      </w:pPr>
      <w:rPr>
        <w:lang w:val="zh-CN" w:eastAsia="zh-CN" w:bidi="zh-CN"/>
      </w:rPr>
    </w:lvl>
  </w:abstractNum>
  <w:abstractNum w:abstractNumId="2">
    <w:nsid w:val="022F616E"/>
    <w:multiLevelType w:val="hybridMultilevel"/>
    <w:tmpl w:val="B56EEF30"/>
    <w:lvl w:ilvl="0" w:tplc="9746C896">
      <w:start w:val="2"/>
      <w:numFmt w:val="japaneseCounting"/>
      <w:lvlText w:val="%1、"/>
      <w:lvlJc w:val="left"/>
      <w:pPr>
        <w:ind w:left="643" w:hanging="525"/>
      </w:pPr>
      <w:rPr>
        <w:rFonts w:hint="default"/>
        <w:w w:val="110"/>
      </w:rPr>
    </w:lvl>
    <w:lvl w:ilvl="1" w:tplc="04090019" w:tentative="1">
      <w:start w:val="1"/>
      <w:numFmt w:val="lowerLetter"/>
      <w:lvlText w:val="%2)"/>
      <w:lvlJc w:val="left"/>
      <w:pPr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ind w:left="3898" w:hanging="420"/>
      </w:pPr>
    </w:lvl>
  </w:abstractNum>
  <w:abstractNum w:abstractNumId="3">
    <w:nsid w:val="199C195C"/>
    <w:multiLevelType w:val="hybridMultilevel"/>
    <w:tmpl w:val="C45CA360"/>
    <w:lvl w:ilvl="0" w:tplc="F528CAD4">
      <w:start w:val="2"/>
      <w:numFmt w:val="japaneseCounting"/>
      <w:lvlText w:val="%1、"/>
      <w:lvlJc w:val="left"/>
      <w:pPr>
        <w:ind w:left="583" w:hanging="465"/>
      </w:pPr>
      <w:rPr>
        <w:rFonts w:hint="default"/>
        <w:w w:val="110"/>
      </w:rPr>
    </w:lvl>
    <w:lvl w:ilvl="1" w:tplc="04090019" w:tentative="1">
      <w:start w:val="1"/>
      <w:numFmt w:val="lowerLetter"/>
      <w:lvlText w:val="%2)"/>
      <w:lvlJc w:val="left"/>
      <w:pPr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ind w:left="3898" w:hanging="420"/>
      </w:pPr>
    </w:lvl>
  </w:abstractNum>
  <w:abstractNum w:abstractNumId="4">
    <w:nsid w:val="40886F2B"/>
    <w:multiLevelType w:val="hybridMultilevel"/>
    <w:tmpl w:val="F5EE4DCA"/>
    <w:lvl w:ilvl="0" w:tplc="5D8E7BE8">
      <w:start w:val="1"/>
      <w:numFmt w:val="japaneseCounting"/>
      <w:lvlText w:val="第%1章"/>
      <w:lvlJc w:val="left"/>
      <w:pPr>
        <w:ind w:left="391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07F7B"/>
    <w:multiLevelType w:val="hybridMultilevel"/>
    <w:tmpl w:val="FC0855BC"/>
    <w:lvl w:ilvl="0" w:tplc="3A1A3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ACA"/>
    <w:rsid w:val="000A4ACA"/>
    <w:rsid w:val="001A4BF9"/>
    <w:rsid w:val="001F4DB0"/>
    <w:rsid w:val="00203C7E"/>
    <w:rsid w:val="002263E9"/>
    <w:rsid w:val="0025653A"/>
    <w:rsid w:val="002903D9"/>
    <w:rsid w:val="003368A1"/>
    <w:rsid w:val="00341367"/>
    <w:rsid w:val="00366A20"/>
    <w:rsid w:val="00375B49"/>
    <w:rsid w:val="00423B6D"/>
    <w:rsid w:val="004A1C22"/>
    <w:rsid w:val="005A678F"/>
    <w:rsid w:val="00636039"/>
    <w:rsid w:val="00666D74"/>
    <w:rsid w:val="00766C08"/>
    <w:rsid w:val="00813303"/>
    <w:rsid w:val="00837922"/>
    <w:rsid w:val="008464DE"/>
    <w:rsid w:val="008A09FA"/>
    <w:rsid w:val="008C1F7A"/>
    <w:rsid w:val="00970204"/>
    <w:rsid w:val="00980E05"/>
    <w:rsid w:val="009B0304"/>
    <w:rsid w:val="00A93172"/>
    <w:rsid w:val="00AB09FA"/>
    <w:rsid w:val="00C902CF"/>
    <w:rsid w:val="00E16ADB"/>
    <w:rsid w:val="00E66B88"/>
    <w:rsid w:val="00EA40C6"/>
    <w:rsid w:val="00EB3C77"/>
    <w:rsid w:val="00F10EBF"/>
    <w:rsid w:val="00F536CB"/>
    <w:rsid w:val="00F6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0A4ACA"/>
    <w:pPr>
      <w:autoSpaceDE w:val="0"/>
      <w:autoSpaceDN w:val="0"/>
      <w:spacing w:before="55"/>
      <w:ind w:left="3195" w:right="3241"/>
      <w:jc w:val="center"/>
      <w:outlineLvl w:val="2"/>
    </w:pPr>
    <w:rPr>
      <w:rFonts w:ascii="宋体" w:eastAsia="宋体" w:hAnsi="宋体" w:cs="宋体"/>
      <w:b/>
      <w:bCs/>
      <w:kern w:val="0"/>
      <w:szCs w:val="21"/>
      <w:lang w:val="zh-CN" w:bidi="zh-CN"/>
    </w:rPr>
  </w:style>
  <w:style w:type="paragraph" w:styleId="4">
    <w:name w:val="heading 4"/>
    <w:basedOn w:val="a"/>
    <w:next w:val="a"/>
    <w:link w:val="4Char"/>
    <w:uiPriority w:val="1"/>
    <w:semiHidden/>
    <w:unhideWhenUsed/>
    <w:qFormat/>
    <w:rsid w:val="000A4ACA"/>
    <w:pPr>
      <w:autoSpaceDE w:val="0"/>
      <w:autoSpaceDN w:val="0"/>
      <w:spacing w:before="52"/>
      <w:ind w:left="118"/>
      <w:jc w:val="left"/>
      <w:outlineLvl w:val="3"/>
    </w:pPr>
    <w:rPr>
      <w:rFonts w:ascii="宋体" w:eastAsia="宋体" w:hAnsi="宋体" w:cs="宋体"/>
      <w:b/>
      <w:bCs/>
      <w:kern w:val="0"/>
      <w:sz w:val="20"/>
      <w:szCs w:val="20"/>
      <w:lang w:val="zh-CN" w:bidi="zh-CN"/>
    </w:rPr>
  </w:style>
  <w:style w:type="paragraph" w:styleId="5">
    <w:name w:val="heading 5"/>
    <w:basedOn w:val="a"/>
    <w:next w:val="a"/>
    <w:link w:val="5Char"/>
    <w:uiPriority w:val="1"/>
    <w:semiHidden/>
    <w:unhideWhenUsed/>
    <w:qFormat/>
    <w:rsid w:val="000A4ACA"/>
    <w:pPr>
      <w:autoSpaceDE w:val="0"/>
      <w:autoSpaceDN w:val="0"/>
      <w:ind w:left="325" w:hanging="203"/>
      <w:jc w:val="left"/>
      <w:outlineLvl w:val="4"/>
    </w:pPr>
    <w:rPr>
      <w:rFonts w:ascii="宋体" w:eastAsia="宋体" w:hAnsi="宋体" w:cs="宋体"/>
      <w:b/>
      <w:bCs/>
      <w:kern w:val="0"/>
      <w:sz w:val="18"/>
      <w:szCs w:val="1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A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ACA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semiHidden/>
    <w:rsid w:val="000A4ACA"/>
    <w:rPr>
      <w:rFonts w:ascii="宋体" w:eastAsia="宋体" w:hAnsi="宋体" w:cs="宋体"/>
      <w:b/>
      <w:bCs/>
      <w:kern w:val="0"/>
      <w:szCs w:val="21"/>
      <w:lang w:val="zh-CN" w:bidi="zh-CN"/>
    </w:rPr>
  </w:style>
  <w:style w:type="character" w:customStyle="1" w:styleId="4Char">
    <w:name w:val="标题 4 Char"/>
    <w:basedOn w:val="a0"/>
    <w:link w:val="4"/>
    <w:uiPriority w:val="1"/>
    <w:semiHidden/>
    <w:rsid w:val="000A4ACA"/>
    <w:rPr>
      <w:rFonts w:ascii="宋体" w:eastAsia="宋体" w:hAnsi="宋体" w:cs="宋体"/>
      <w:b/>
      <w:bCs/>
      <w:kern w:val="0"/>
      <w:sz w:val="20"/>
      <w:szCs w:val="20"/>
      <w:lang w:val="zh-CN" w:bidi="zh-CN"/>
    </w:rPr>
  </w:style>
  <w:style w:type="character" w:customStyle="1" w:styleId="5Char">
    <w:name w:val="标题 5 Char"/>
    <w:basedOn w:val="a0"/>
    <w:link w:val="5"/>
    <w:uiPriority w:val="1"/>
    <w:semiHidden/>
    <w:rsid w:val="000A4ACA"/>
    <w:rPr>
      <w:rFonts w:ascii="宋体" w:eastAsia="宋体" w:hAnsi="宋体" w:cs="宋体"/>
      <w:b/>
      <w:bCs/>
      <w:kern w:val="0"/>
      <w:sz w:val="18"/>
      <w:szCs w:val="18"/>
      <w:lang w:val="zh-CN" w:bidi="zh-CN"/>
    </w:rPr>
  </w:style>
  <w:style w:type="character" w:styleId="a5">
    <w:name w:val="Hyperlink"/>
    <w:basedOn w:val="a0"/>
    <w:uiPriority w:val="99"/>
    <w:semiHidden/>
    <w:unhideWhenUsed/>
    <w:rsid w:val="000A4ACA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1"/>
    <w:semiHidden/>
    <w:unhideWhenUsed/>
    <w:qFormat/>
    <w:rsid w:val="000A4ACA"/>
    <w:pPr>
      <w:autoSpaceDE w:val="0"/>
      <w:autoSpaceDN w:val="0"/>
      <w:jc w:val="left"/>
    </w:pPr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1">
    <w:name w:val="正文文本 Char"/>
    <w:basedOn w:val="a0"/>
    <w:link w:val="a6"/>
    <w:uiPriority w:val="1"/>
    <w:semiHidden/>
    <w:rsid w:val="000A4ACA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List Paragraph"/>
    <w:basedOn w:val="a"/>
    <w:uiPriority w:val="1"/>
    <w:qFormat/>
    <w:rsid w:val="000A4ACA"/>
    <w:pPr>
      <w:autoSpaceDE w:val="0"/>
      <w:autoSpaceDN w:val="0"/>
      <w:spacing w:before="62"/>
      <w:ind w:left="123" w:firstLine="375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A4AC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ditchina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沈子登</dc:creator>
  <cp:keywords/>
  <dc:description/>
  <cp:lastModifiedBy>明艳芬</cp:lastModifiedBy>
  <cp:revision>2</cp:revision>
  <cp:lastPrinted>2021-08-03T06:40:00Z</cp:lastPrinted>
  <dcterms:created xsi:type="dcterms:W3CDTF">2021-08-11T01:27:00Z</dcterms:created>
  <dcterms:modified xsi:type="dcterms:W3CDTF">2021-08-11T01:27:00Z</dcterms:modified>
</cp:coreProperties>
</file>