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67" w:rsidRDefault="00640DD2">
      <w:pPr>
        <w:spacing w:line="520" w:lineRule="exact"/>
        <w:jc w:val="center"/>
        <w:rPr>
          <w:rFonts w:ascii="宋体" w:hAnsi="宋体" w:cs="宋体"/>
          <w:b/>
          <w:color w:val="000000"/>
          <w:sz w:val="28"/>
          <w:szCs w:val="28"/>
        </w:rPr>
      </w:pPr>
      <w:r>
        <w:rPr>
          <w:rFonts w:ascii="宋体" w:hAnsi="宋体" w:cs="宋体" w:hint="eastAsia"/>
          <w:b/>
          <w:color w:val="000000"/>
          <w:sz w:val="28"/>
          <w:szCs w:val="28"/>
        </w:rPr>
        <w:t>血液科</w:t>
      </w:r>
      <w:r w:rsidR="00493490">
        <w:rPr>
          <w:rFonts w:ascii="宋体" w:hAnsi="宋体" w:cs="宋体" w:hint="eastAsia"/>
          <w:b/>
          <w:color w:val="000000"/>
          <w:sz w:val="28"/>
          <w:szCs w:val="28"/>
        </w:rPr>
        <w:t>外送服务项目用户需求书</w:t>
      </w:r>
      <w:r>
        <w:rPr>
          <w:rFonts w:ascii="宋体" w:hAnsi="宋体" w:cs="宋体" w:hint="eastAsia"/>
          <w:b/>
          <w:color w:val="000000"/>
          <w:sz w:val="28"/>
          <w:szCs w:val="28"/>
        </w:rPr>
        <w:t>（二）</w:t>
      </w:r>
    </w:p>
    <w:p w:rsidR="00C71667" w:rsidRDefault="00493490">
      <w:pPr>
        <w:pStyle w:val="2"/>
      </w:pPr>
      <w:r>
        <w:rPr>
          <w:rFonts w:hint="eastAsia"/>
        </w:rPr>
        <w:t>一、技术要求</w:t>
      </w:r>
    </w:p>
    <w:p w:rsidR="00C71667" w:rsidRDefault="00493490">
      <w:pPr>
        <w:numPr>
          <w:ilvl w:val="0"/>
          <w:numId w:val="1"/>
        </w:numPr>
        <w:rPr>
          <w:rFonts w:ascii="宋体" w:eastAsia="宋体" w:hAnsi="宋体" w:cs="宋体"/>
          <w:sz w:val="24"/>
          <w:szCs w:val="24"/>
        </w:rPr>
      </w:pPr>
      <w:r>
        <w:rPr>
          <w:rFonts w:ascii="宋体" w:eastAsia="宋体" w:hAnsi="宋体" w:cs="宋体" w:hint="eastAsia"/>
          <w:sz w:val="24"/>
          <w:szCs w:val="24"/>
        </w:rPr>
        <w:t>在中华人民共和国境内注册的独立法人，具备承担法律责任的完全民事行为能力，须提供有效的营业执照副本复印件（如非“三证合一”证照，同时提供有效的税务登记证及组织机构代码证副本复印件）。</w:t>
      </w:r>
    </w:p>
    <w:p w:rsidR="00C71667" w:rsidRDefault="00493490">
      <w:pPr>
        <w:rPr>
          <w:rFonts w:ascii="宋体" w:eastAsia="宋体" w:hAnsi="宋体" w:cs="宋体"/>
          <w:sz w:val="24"/>
          <w:szCs w:val="24"/>
        </w:rPr>
      </w:pPr>
      <w:r>
        <w:rPr>
          <w:rFonts w:ascii="宋体" w:eastAsia="宋体" w:hAnsi="宋体" w:cs="宋体" w:hint="eastAsia"/>
          <w:sz w:val="24"/>
          <w:szCs w:val="24"/>
        </w:rPr>
        <w:t>2.第三方检验机构必须是合法合</w:t>
      </w: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的医学检验机构，通过ISO 15189资质认证，具备实验室的室间室内质控。</w:t>
      </w:r>
    </w:p>
    <w:p w:rsidR="00C71667" w:rsidRDefault="00493490">
      <w:pPr>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sz w:val="24"/>
          <w:szCs w:val="24"/>
        </w:rPr>
        <w:t>第三方检验机构必须具备对CML病人进行MR4.7高敏检测水平</w:t>
      </w:r>
      <w:r>
        <w:rPr>
          <w:rFonts w:ascii="宋体" w:eastAsia="宋体" w:hAnsi="宋体" w:cs="宋体" w:hint="eastAsia"/>
          <w:kern w:val="0"/>
          <w:sz w:val="24"/>
          <w:szCs w:val="24"/>
        </w:rPr>
        <w:t>。</w:t>
      </w:r>
    </w:p>
    <w:p w:rsidR="00C71667" w:rsidRDefault="00493490">
      <w:pPr>
        <w:rPr>
          <w:rFonts w:ascii="宋体" w:eastAsia="宋体" w:hAnsi="宋体" w:cs="宋体"/>
          <w:kern w:val="0"/>
          <w:sz w:val="24"/>
          <w:szCs w:val="24"/>
        </w:rPr>
      </w:pPr>
      <w:r>
        <w:rPr>
          <w:rFonts w:ascii="宋体" w:eastAsia="宋体" w:hAnsi="宋体" w:cs="宋体" w:hint="eastAsia"/>
          <w:sz w:val="24"/>
          <w:szCs w:val="24"/>
        </w:rPr>
        <w:t>4.第三那方检验机构必须具备NGS检测能力，且在FLT3/ITD阳性时能进行多样性检测分析。</w:t>
      </w:r>
    </w:p>
    <w:p w:rsidR="00C71667" w:rsidRDefault="00493490">
      <w:pPr>
        <w:rPr>
          <w:rFonts w:ascii="宋体" w:eastAsia="宋体" w:hAnsi="宋体" w:cs="宋体"/>
          <w:sz w:val="24"/>
          <w:szCs w:val="24"/>
        </w:rPr>
      </w:pPr>
      <w:r>
        <w:rPr>
          <w:rFonts w:ascii="宋体" w:eastAsia="宋体" w:hAnsi="宋体" w:cs="宋体" w:hint="eastAsia"/>
          <w:sz w:val="24"/>
          <w:szCs w:val="24"/>
        </w:rPr>
        <w:t>5.第三方检验机构必须通过全国肿瘤体细胞突变高通量测序检测的认证。</w:t>
      </w:r>
    </w:p>
    <w:p w:rsidR="00C71667" w:rsidRDefault="00493490">
      <w:pPr>
        <w:rPr>
          <w:rFonts w:ascii="宋体" w:eastAsia="宋体" w:hAnsi="宋体" w:cs="宋体"/>
          <w:sz w:val="24"/>
          <w:szCs w:val="24"/>
        </w:rPr>
      </w:pPr>
      <w:r>
        <w:rPr>
          <w:rFonts w:ascii="宋体" w:eastAsia="宋体" w:hAnsi="宋体" w:cs="宋体" w:hint="eastAsia"/>
          <w:kern w:val="0"/>
          <w:sz w:val="24"/>
          <w:szCs w:val="24"/>
        </w:rPr>
        <w:t>6.</w:t>
      </w:r>
      <w:r>
        <w:rPr>
          <w:rFonts w:ascii="宋体" w:eastAsia="宋体" w:hAnsi="宋体" w:cs="宋体" w:hint="eastAsia"/>
          <w:sz w:val="24"/>
          <w:szCs w:val="24"/>
        </w:rPr>
        <w:t>第三方检验机构必须是自主具有血液疾病综合检测能力，包括形态学、免疫学、遗传学和分子学（即MICM）的检测平台，且是ISO 15189认可的检验能力范围。</w:t>
      </w:r>
    </w:p>
    <w:p w:rsidR="00C71667" w:rsidRDefault="00493490">
      <w:pPr>
        <w:rPr>
          <w:rFonts w:ascii="宋体" w:eastAsia="宋体" w:hAnsi="宋体" w:cs="宋体"/>
          <w:sz w:val="24"/>
          <w:szCs w:val="24"/>
        </w:rPr>
      </w:pPr>
      <w:r>
        <w:rPr>
          <w:rFonts w:ascii="宋体" w:eastAsia="宋体" w:hAnsi="宋体" w:cs="宋体" w:hint="eastAsia"/>
          <w:sz w:val="24"/>
          <w:szCs w:val="24"/>
        </w:rPr>
        <w:t>7.第三方检验机构具有司法鉴定许可证。</w:t>
      </w:r>
    </w:p>
    <w:p w:rsidR="00C71667" w:rsidRDefault="00493490">
      <w:pPr>
        <w:pStyle w:val="2"/>
      </w:pPr>
      <w:bookmarkStart w:id="0" w:name="_GoBack"/>
      <w:bookmarkEnd w:id="0"/>
      <w:r>
        <w:rPr>
          <w:rFonts w:hint="eastAsia"/>
        </w:rPr>
        <w:t>二、服务要求</w:t>
      </w:r>
    </w:p>
    <w:p w:rsidR="00C71667" w:rsidRDefault="00493490">
      <w:pPr>
        <w:spacing w:line="440" w:lineRule="exact"/>
        <w:ind w:left="2" w:firstLineChars="245" w:firstLine="588"/>
        <w:rPr>
          <w:rFonts w:ascii="宋体" w:eastAsia="宋体" w:hAnsi="宋体" w:cs="宋体"/>
          <w:bCs/>
          <w:sz w:val="24"/>
          <w:szCs w:val="24"/>
        </w:rPr>
      </w:pPr>
      <w:r>
        <w:rPr>
          <w:rFonts w:ascii="宋体" w:eastAsia="宋体" w:hAnsi="宋体" w:cs="宋体" w:hint="eastAsia"/>
          <w:bCs/>
          <w:sz w:val="24"/>
          <w:szCs w:val="24"/>
        </w:rPr>
        <w:t>根据采购人临床业务需求提供相应检验项目服务，提供委托检验项目标本处理、冷链运输、检测服务、</w:t>
      </w:r>
      <w:proofErr w:type="gramStart"/>
      <w:r>
        <w:rPr>
          <w:rFonts w:ascii="宋体" w:eastAsia="宋体" w:hAnsi="宋体" w:cs="宋体" w:hint="eastAsia"/>
          <w:bCs/>
          <w:sz w:val="24"/>
          <w:szCs w:val="24"/>
        </w:rPr>
        <w:t>帐单</w:t>
      </w:r>
      <w:proofErr w:type="gramEnd"/>
      <w:r>
        <w:rPr>
          <w:rFonts w:ascii="宋体" w:eastAsia="宋体" w:hAnsi="宋体" w:cs="宋体" w:hint="eastAsia"/>
          <w:bCs/>
          <w:sz w:val="24"/>
          <w:szCs w:val="24"/>
        </w:rPr>
        <w:t>统计/查询服务。</w:t>
      </w:r>
    </w:p>
    <w:p w:rsidR="00C71667" w:rsidRDefault="00493490">
      <w:pPr>
        <w:tabs>
          <w:tab w:val="left" w:pos="709"/>
        </w:tabs>
        <w:spacing w:line="440" w:lineRule="exact"/>
        <w:ind w:firstLineChars="245" w:firstLine="588"/>
        <w:rPr>
          <w:rFonts w:ascii="宋体" w:eastAsia="宋体" w:hAnsi="宋体" w:cs="宋体"/>
          <w:b/>
          <w:bCs/>
          <w:sz w:val="24"/>
          <w:szCs w:val="24"/>
        </w:rPr>
      </w:pPr>
      <w:r>
        <w:rPr>
          <w:rFonts w:ascii="宋体" w:eastAsia="宋体" w:hAnsi="宋体" w:cs="宋体" w:hint="eastAsia"/>
          <w:sz w:val="24"/>
          <w:szCs w:val="24"/>
        </w:rPr>
        <w:t>1、服务响应：一年里除了过年前后一个星期外，可以根据临床需要，每天提供上门收取标本服务，检测报告按照双方约定的出报告时间出具。</w:t>
      </w:r>
    </w:p>
    <w:p w:rsidR="00C71667" w:rsidRDefault="00493490">
      <w:pPr>
        <w:tabs>
          <w:tab w:val="left" w:pos="709"/>
        </w:tabs>
        <w:spacing w:line="440" w:lineRule="exact"/>
        <w:ind w:firstLineChars="245" w:firstLine="588"/>
        <w:rPr>
          <w:rFonts w:ascii="宋体" w:eastAsia="宋体" w:hAnsi="宋体" w:cs="宋体"/>
          <w:sz w:val="24"/>
          <w:szCs w:val="24"/>
        </w:rPr>
      </w:pPr>
      <w:r>
        <w:rPr>
          <w:rFonts w:ascii="宋体" w:eastAsia="宋体" w:hAnsi="宋体" w:cs="宋体" w:hint="eastAsia"/>
          <w:sz w:val="24"/>
          <w:szCs w:val="24"/>
        </w:rPr>
        <w:t>2、质量保障：保证委托检验项目检测质量，具备委托检验项目的相应检测设备、技术人才，并有检验前、检验中、检验后质量保障措施。检验前质量保障措施包括标本采集要求培训，标本箱运送温度控制及安全性保障；检验中质量保障措施包括标准化的操作规范、</w:t>
      </w:r>
      <w:proofErr w:type="gramStart"/>
      <w:r>
        <w:rPr>
          <w:rFonts w:ascii="宋体" w:eastAsia="宋体" w:hAnsi="宋体" w:cs="宋体" w:hint="eastAsia"/>
          <w:sz w:val="24"/>
          <w:szCs w:val="24"/>
        </w:rPr>
        <w:t>室内质</w:t>
      </w:r>
      <w:proofErr w:type="gramEnd"/>
      <w:r>
        <w:rPr>
          <w:rFonts w:ascii="宋体" w:eastAsia="宋体" w:hAnsi="宋体" w:cs="宋体" w:hint="eastAsia"/>
          <w:sz w:val="24"/>
          <w:szCs w:val="24"/>
        </w:rPr>
        <w:t>控、室间质控等；检验后质量保障措施包括异常结果处理流程、临床提出异议的检验报告处理流程等。</w:t>
      </w:r>
    </w:p>
    <w:p w:rsidR="00C71667" w:rsidRDefault="00493490">
      <w:pPr>
        <w:tabs>
          <w:tab w:val="left" w:pos="709"/>
        </w:tabs>
        <w:spacing w:line="440" w:lineRule="exact"/>
        <w:ind w:firstLineChars="245" w:firstLine="588"/>
        <w:rPr>
          <w:rFonts w:ascii="宋体" w:eastAsia="宋体" w:hAnsi="宋体" w:cs="宋体"/>
          <w:sz w:val="24"/>
          <w:szCs w:val="24"/>
        </w:rPr>
      </w:pPr>
      <w:r>
        <w:rPr>
          <w:rFonts w:ascii="宋体" w:eastAsia="宋体" w:hAnsi="宋体" w:cs="宋体" w:hint="eastAsia"/>
          <w:sz w:val="24"/>
          <w:szCs w:val="24"/>
        </w:rPr>
        <w:t>3、临床对检测结果提出异议处理流程：实验室工作日上班时间早上9点，接到临床反馈后，先对标本、检测流程、结果进行复核，半个工作日内给出回复，如果是检测流程有问题，会重新对样本进行检测，报告时间和正常检测一样。</w:t>
      </w:r>
    </w:p>
    <w:p w:rsidR="00C71667" w:rsidRDefault="00493490">
      <w:pPr>
        <w:tabs>
          <w:tab w:val="left" w:pos="709"/>
        </w:tabs>
        <w:spacing w:line="440" w:lineRule="exact"/>
        <w:ind w:firstLineChars="245" w:firstLine="588"/>
        <w:rPr>
          <w:rFonts w:ascii="宋体" w:eastAsia="宋体" w:hAnsi="宋体" w:cs="宋体"/>
          <w:sz w:val="24"/>
          <w:szCs w:val="24"/>
        </w:rPr>
      </w:pPr>
      <w:r>
        <w:rPr>
          <w:rFonts w:ascii="宋体" w:eastAsia="宋体" w:hAnsi="宋体" w:cs="宋体" w:hint="eastAsia"/>
          <w:sz w:val="24"/>
          <w:szCs w:val="24"/>
        </w:rPr>
        <w:t>4、咨询服务：提供免费服务电话、网络查询、</w:t>
      </w:r>
      <w:proofErr w:type="gramStart"/>
      <w:r>
        <w:rPr>
          <w:rFonts w:ascii="宋体" w:eastAsia="宋体" w:hAnsi="宋体" w:cs="宋体" w:hint="eastAsia"/>
          <w:sz w:val="24"/>
          <w:szCs w:val="24"/>
        </w:rPr>
        <w:t>微信查询</w:t>
      </w:r>
      <w:proofErr w:type="gramEnd"/>
      <w:r>
        <w:rPr>
          <w:rFonts w:ascii="宋体" w:eastAsia="宋体" w:hAnsi="宋体" w:cs="宋体" w:hint="eastAsia"/>
          <w:sz w:val="24"/>
          <w:szCs w:val="24"/>
        </w:rPr>
        <w:t>等多种渠道供相关临床部门进行业务咨询、报告查询、账单查询统计功能。</w:t>
      </w:r>
    </w:p>
    <w:p w:rsidR="00C71667" w:rsidRDefault="00493490">
      <w:pPr>
        <w:ind w:firstLineChars="250" w:firstLine="600"/>
        <w:rPr>
          <w:rFonts w:ascii="宋体" w:eastAsia="宋体" w:hAnsi="宋体" w:cs="宋体"/>
          <w:sz w:val="24"/>
          <w:szCs w:val="24"/>
        </w:rPr>
      </w:pPr>
      <w:r>
        <w:rPr>
          <w:rFonts w:ascii="宋体" w:eastAsia="宋体" w:hAnsi="宋体" w:cs="宋体" w:hint="eastAsia"/>
          <w:sz w:val="24"/>
          <w:szCs w:val="24"/>
        </w:rPr>
        <w:t>5、冷链物流服务：提供专业冷链物流服务，标本</w:t>
      </w:r>
      <w:proofErr w:type="gramStart"/>
      <w:r>
        <w:rPr>
          <w:rFonts w:ascii="宋体" w:eastAsia="宋体" w:hAnsi="宋体" w:cs="宋体" w:hint="eastAsia"/>
          <w:sz w:val="24"/>
          <w:szCs w:val="24"/>
        </w:rPr>
        <w:t>箱具备</w:t>
      </w:r>
      <w:proofErr w:type="gramEnd"/>
      <w:r>
        <w:rPr>
          <w:rFonts w:ascii="宋体" w:eastAsia="宋体" w:hAnsi="宋体" w:cs="宋体" w:hint="eastAsia"/>
          <w:sz w:val="24"/>
          <w:szCs w:val="24"/>
        </w:rPr>
        <w:t>GPS定位功能，温度监控功能，确保标本运输过程的安全及有效。</w:t>
      </w:r>
    </w:p>
    <w:p w:rsidR="00C71667" w:rsidRDefault="00493490">
      <w:pPr>
        <w:ind w:firstLineChars="250" w:firstLine="600"/>
        <w:rPr>
          <w:rFonts w:ascii="宋体" w:eastAsia="宋体" w:hAnsi="宋体" w:cs="宋体"/>
          <w:sz w:val="24"/>
          <w:szCs w:val="24"/>
        </w:rPr>
      </w:pPr>
      <w:r>
        <w:rPr>
          <w:rFonts w:ascii="宋体" w:eastAsia="宋体" w:hAnsi="宋体" w:cs="宋体" w:hint="eastAsia"/>
          <w:sz w:val="24"/>
          <w:szCs w:val="24"/>
        </w:rPr>
        <w:t>6、服务时间：2年。</w:t>
      </w:r>
    </w:p>
    <w:p w:rsidR="00C71667" w:rsidRDefault="00493490">
      <w:pPr>
        <w:rPr>
          <w:rFonts w:ascii="Calibri" w:hAnsi="Calibri"/>
          <w:b/>
          <w:sz w:val="32"/>
          <w:szCs w:val="32"/>
        </w:rPr>
      </w:pPr>
      <w:r>
        <w:rPr>
          <w:rFonts w:ascii="Calibri" w:hAnsi="Calibri" w:hint="eastAsia"/>
          <w:b/>
          <w:sz w:val="32"/>
          <w:szCs w:val="32"/>
        </w:rPr>
        <w:t>三、釆购清单及要求</w:t>
      </w:r>
    </w:p>
    <w:p w:rsidR="00C71667" w:rsidRDefault="00C71667">
      <w:pPr>
        <w:rPr>
          <w:rFonts w:ascii="Calibri" w:hAnsi="Calibri"/>
          <w:b/>
          <w:szCs w:val="21"/>
        </w:rPr>
      </w:pPr>
    </w:p>
    <w:tbl>
      <w:tblPr>
        <w:tblW w:w="8232" w:type="dxa"/>
        <w:tblInd w:w="98" w:type="dxa"/>
        <w:tblLook w:val="04A0"/>
      </w:tblPr>
      <w:tblGrid>
        <w:gridCol w:w="990"/>
        <w:gridCol w:w="1896"/>
        <w:gridCol w:w="4056"/>
        <w:gridCol w:w="1290"/>
      </w:tblGrid>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序号</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收费代码</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项目名称</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F76CD9">
            <w:pPr>
              <w:widowControl/>
              <w:jc w:val="left"/>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rPr>
              <w:t>标准收费（元）</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250700014-4</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骨髓染色体核型分析</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1138.96</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ABL1激酶区突变</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AML1-ETO融合基因定量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250700017-11*2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BCR-ABL1 (P190，P210型)融合基因定量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956.8</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BCR-ABL1 P190型融合基因定量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BCR-ABL1 P210型融合基因定量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BCR-ABL1 P230型整合基因定量检测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BCR-ABL1融合基因罕见型筛查</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CALR基因外显子9突变</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CBFβ-MYH11融合基因定量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480.4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270700003*2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DNMT3A基因已知突变</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460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270700003*2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ASXL1基因已知突变</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460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ETV6/RUNX1融合基因定量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EVI1基因定量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FLT3-ITD基因突变定量检测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FLT3基因定量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270700003*2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TET2基因已知突变</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460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270700003*2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TP53基因已知突变</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460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19</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WT1基因定量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JAK2基因exon12突变定性</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250700017-10</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JAK2基因V617F突变定量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TCF3-PBX1融合基因定量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270700003*2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MYD88 L265P基因突变</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460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24</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270700003*2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PHF6基因已知突变</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460</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250700017-9*3</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PML-RARα(Bcr1、Bcr2、Bcr3型)融合基因定量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1435.2</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270700003*2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髓系血液</w:t>
            </w:r>
            <w:proofErr w:type="gramEnd"/>
            <w:r>
              <w:rPr>
                <w:rFonts w:ascii="宋体" w:eastAsia="宋体" w:hAnsi="宋体" w:cs="宋体" w:hint="eastAsia"/>
                <w:color w:val="000000"/>
                <w:kern w:val="0"/>
                <w:sz w:val="24"/>
                <w:szCs w:val="24"/>
              </w:rPr>
              <w:t>疾病单个基因已知突变</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460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白血病融合基因分型Real-time PCR</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478.4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28</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250700017-11*2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JAK2基因突变(exon12-15)</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956.8</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29</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MLL/AF4融合基因定性</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151.80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FIP1L1-PDGFRα融合基因定性</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151.80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CEBPA基因突变定性</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151.80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ETV6-PDGFRβ融合基因定性</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151.80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SIL/TAL1融合基因定性</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151.80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34</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FLT3/ITD基因突变定性</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151.80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JAK2基因V617F突变定性</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151.80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36</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NPM1基因突变定性</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151.80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MPL基因W515L/K突变定性</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303.6</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38</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白血病融合基因分型RT-PCR</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151.80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39</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250700017-2*5</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TCR基因重排</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759</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lastRenderedPageBreak/>
              <w:t>40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250700017-2*5</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proofErr w:type="spellStart"/>
            <w:r>
              <w:rPr>
                <w:rFonts w:ascii="宋体" w:eastAsia="宋体" w:hAnsi="宋体" w:cs="宋体" w:hint="eastAsia"/>
                <w:color w:val="000000"/>
                <w:kern w:val="0"/>
                <w:sz w:val="24"/>
                <w:szCs w:val="24"/>
              </w:rPr>
              <w:t>Ig</w:t>
            </w:r>
            <w:proofErr w:type="spellEnd"/>
            <w:r>
              <w:rPr>
                <w:rFonts w:ascii="宋体" w:eastAsia="宋体" w:hAnsi="宋体" w:cs="宋体" w:hint="eastAsia"/>
                <w:color w:val="000000"/>
                <w:kern w:val="0"/>
                <w:sz w:val="24"/>
                <w:szCs w:val="24"/>
              </w:rPr>
              <w:t>基因重排</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759</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250401031*19</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PNH-FLAER五项</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843.6</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260000022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PRA定性筛查（HLA-Ⅰ类、HLA-Ⅱ类，MICA）</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800.00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260000022-1*2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特异性抗体DSA（HLA-I类）检测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1600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44</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260000023*2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特异性抗体DSA（HLA-II类）检测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1600</w:t>
            </w:r>
          </w:p>
        </w:tc>
      </w:tr>
      <w:tr w:rsidR="00C71667">
        <w:trPr>
          <w:trHeight w:val="90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260000022/  260000023/ 270700004S-1</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人组织相容性抗原分型与配型(高分辨)—5位点</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1836</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46</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260000022/ 250700017-3*3</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移植后供受者基因嵌合率-初检</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1255.4</w:t>
            </w:r>
          </w:p>
        </w:tc>
      </w:tr>
      <w:tr w:rsidR="00C71667">
        <w:trPr>
          <w:trHeight w:val="619"/>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260000022/ 250700017-3*3</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移植后供受者基因嵌合率-复检</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1255.4</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48</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250700003/ 250700014-4</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彗星实验+染色体畸变套系</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1304.56</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49</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250700003/ 250700014-4</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染色体断裂检测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1304.56</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250202008</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红细胞渗透脆性孵育试验</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24.84</w:t>
            </w:r>
          </w:p>
        </w:tc>
      </w:tr>
      <w:tr w:rsidR="00C71667">
        <w:trPr>
          <w:trHeight w:val="2442"/>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250202007/ 250202016/ 250202017/ 250202019/ 250202026/ 250202027/ 250202028/ 250202030/ 250202031-2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溶贫筛查</w:t>
            </w:r>
            <w:proofErr w:type="gramEnd"/>
            <w:r>
              <w:rPr>
                <w:rFonts w:ascii="宋体" w:eastAsia="宋体" w:hAnsi="宋体" w:cs="宋体" w:hint="eastAsia"/>
                <w:color w:val="000000"/>
                <w:kern w:val="0"/>
                <w:sz w:val="24"/>
                <w:szCs w:val="24"/>
              </w:rPr>
              <w:t>9项</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55.2</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250403025-3*5</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EBV病毒抗体全套（抗VCA-</w:t>
            </w:r>
            <w:proofErr w:type="spellStart"/>
            <w:r>
              <w:rPr>
                <w:rFonts w:ascii="宋体" w:eastAsia="宋体" w:hAnsi="宋体" w:cs="宋体" w:hint="eastAsia"/>
                <w:color w:val="000000"/>
                <w:kern w:val="0"/>
                <w:sz w:val="24"/>
                <w:szCs w:val="24"/>
              </w:rPr>
              <w:t>IgA</w:t>
            </w:r>
            <w:proofErr w:type="spellEnd"/>
            <w:r>
              <w:rPr>
                <w:rFonts w:ascii="宋体" w:eastAsia="宋体" w:hAnsi="宋体" w:cs="宋体" w:hint="eastAsia"/>
                <w:color w:val="000000"/>
                <w:kern w:val="0"/>
                <w:sz w:val="24"/>
                <w:szCs w:val="24"/>
              </w:rPr>
              <w:t>/</w:t>
            </w:r>
            <w:proofErr w:type="spellStart"/>
            <w:r>
              <w:rPr>
                <w:rFonts w:ascii="宋体" w:eastAsia="宋体" w:hAnsi="宋体" w:cs="宋体" w:hint="eastAsia"/>
                <w:color w:val="000000"/>
                <w:kern w:val="0"/>
                <w:sz w:val="24"/>
                <w:szCs w:val="24"/>
              </w:rPr>
              <w:t>IgG</w:t>
            </w:r>
            <w:proofErr w:type="spellEnd"/>
            <w:r>
              <w:rPr>
                <w:rFonts w:ascii="宋体" w:eastAsia="宋体" w:hAnsi="宋体" w:cs="宋体" w:hint="eastAsia"/>
                <w:color w:val="000000"/>
                <w:kern w:val="0"/>
                <w:sz w:val="24"/>
                <w:szCs w:val="24"/>
              </w:rPr>
              <w:t>/</w:t>
            </w:r>
            <w:proofErr w:type="spellStart"/>
            <w:r>
              <w:rPr>
                <w:rFonts w:ascii="宋体" w:eastAsia="宋体" w:hAnsi="宋体" w:cs="宋体" w:hint="eastAsia"/>
                <w:color w:val="000000"/>
                <w:kern w:val="0"/>
                <w:sz w:val="24"/>
                <w:szCs w:val="24"/>
              </w:rPr>
              <w:t>IgM</w:t>
            </w:r>
            <w:proofErr w:type="spellEnd"/>
            <w:r>
              <w:rPr>
                <w:rFonts w:ascii="宋体" w:eastAsia="宋体" w:hAnsi="宋体" w:cs="宋体" w:hint="eastAsia"/>
                <w:color w:val="000000"/>
                <w:kern w:val="0"/>
                <w:sz w:val="24"/>
                <w:szCs w:val="24"/>
              </w:rPr>
              <w:t>、EA-</w:t>
            </w:r>
            <w:proofErr w:type="spellStart"/>
            <w:r>
              <w:rPr>
                <w:rFonts w:ascii="宋体" w:eastAsia="宋体" w:hAnsi="宋体" w:cs="宋体" w:hint="eastAsia"/>
                <w:color w:val="000000"/>
                <w:kern w:val="0"/>
                <w:sz w:val="24"/>
                <w:szCs w:val="24"/>
              </w:rPr>
              <w:t>IgG</w:t>
            </w:r>
            <w:proofErr w:type="spellEnd"/>
            <w:r>
              <w:rPr>
                <w:rFonts w:ascii="宋体" w:eastAsia="宋体" w:hAnsi="宋体" w:cs="宋体" w:hint="eastAsia"/>
                <w:color w:val="000000"/>
                <w:kern w:val="0"/>
                <w:sz w:val="24"/>
                <w:szCs w:val="24"/>
              </w:rPr>
              <w:t>、EBNA-</w:t>
            </w:r>
            <w:proofErr w:type="spellStart"/>
            <w:r>
              <w:rPr>
                <w:rFonts w:ascii="宋体" w:eastAsia="宋体" w:hAnsi="宋体" w:cs="宋体" w:hint="eastAsia"/>
                <w:color w:val="000000"/>
                <w:kern w:val="0"/>
                <w:sz w:val="24"/>
                <w:szCs w:val="24"/>
              </w:rPr>
              <w:t>IgG</w:t>
            </w:r>
            <w:proofErr w:type="spellEnd"/>
            <w:r>
              <w:rPr>
                <w:rFonts w:ascii="宋体" w:eastAsia="宋体" w:hAnsi="宋体" w:cs="宋体" w:hint="eastAsia"/>
                <w:color w:val="000000"/>
                <w:kern w:val="0"/>
                <w:sz w:val="24"/>
                <w:szCs w:val="24"/>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276</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250700017-6*5/ 250700014-4</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MM遗传学基础套餐</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5439.96</w:t>
            </w:r>
          </w:p>
        </w:tc>
      </w:tr>
      <w:tr w:rsidR="00C71667">
        <w:trPr>
          <w:trHeight w:val="1519"/>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54</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250102007-2/ 250301004*2/ 250301005*8/ 250307010/ 250401027*4</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MM诊断套餐2</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1,368.22</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250700012*5</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杀伤细胞免疫球蛋白受体(KIR)基因分型</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552</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56</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250700031F*22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噬</w:t>
            </w:r>
            <w:proofErr w:type="gramEnd"/>
            <w:r>
              <w:rPr>
                <w:rFonts w:ascii="宋体" w:eastAsia="宋体" w:hAnsi="宋体" w:cs="宋体" w:hint="eastAsia"/>
                <w:color w:val="000000"/>
                <w:kern w:val="0"/>
                <w:sz w:val="24"/>
                <w:szCs w:val="24"/>
              </w:rPr>
              <w:t>血细胞综合征基因突变套系26项</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4,048</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250700031F*22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proofErr w:type="gramStart"/>
            <w:r>
              <w:rPr>
                <w:rFonts w:ascii="宋体" w:eastAsia="宋体" w:hAnsi="宋体" w:cs="宋体" w:hint="eastAsia"/>
                <w:color w:val="000000"/>
                <w:kern w:val="0"/>
                <w:sz w:val="24"/>
                <w:szCs w:val="24"/>
              </w:rPr>
              <w:t>髓系血液</w:t>
            </w:r>
            <w:proofErr w:type="gramEnd"/>
            <w:r>
              <w:rPr>
                <w:rFonts w:ascii="宋体" w:eastAsia="宋体" w:hAnsi="宋体" w:cs="宋体" w:hint="eastAsia"/>
                <w:color w:val="000000"/>
                <w:kern w:val="0"/>
                <w:sz w:val="24"/>
                <w:szCs w:val="24"/>
              </w:rPr>
              <w:t>疾病 74 种基因突变(含 FLT3-ITD 多样性分析)</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4,048</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58</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250700031F*22</w:t>
            </w:r>
          </w:p>
        </w:tc>
        <w:tc>
          <w:tcPr>
            <w:tcW w:w="40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MDS全基因组芯片（34种基因突变）</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4,048</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59</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250700031F*37</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血液肿瘤全景式基因检测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6,808</w:t>
            </w:r>
          </w:p>
        </w:tc>
      </w:tr>
      <w:tr w:rsidR="00C71667">
        <w:trPr>
          <w:trHeight w:val="559"/>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250203031-2*7/ 250201007</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ADAMTS13活性测定</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800.4</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lastRenderedPageBreak/>
              <w:t>61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250700031F*15</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AML预后15种基因突变</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2,760</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250401031*34</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NK细胞活性测定</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1,501.44</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250401031*27</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细胞毒脱颗粒检测（CD107a激发实验）</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1,192.32</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64</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250401031*13</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可溶性CD25水平检测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574.08</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65</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250401031*13</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可溶性CD163（sCD163）水平检测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574.08</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66</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250700017-11*2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穿孔素（PRF1）蛋白表达检测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956.8</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67</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250700017-11*2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SAP蛋白表达检测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956.8</w:t>
            </w:r>
          </w:p>
        </w:tc>
      </w:tr>
      <w:tr w:rsidR="00C71667">
        <w:trPr>
          <w:trHeight w:val="2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68</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250700017-11*2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XIAP蛋白表达检测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956.8</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69</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270700003*4</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X连锁无丙种球蛋白血症BTK基因突变检测</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920</w:t>
            </w:r>
          </w:p>
        </w:tc>
      </w:tr>
      <w:tr w:rsidR="00C71667">
        <w:trPr>
          <w:trHeight w:val="54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70</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250700017-4*4/ 250700012*2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细胞分选CD4+细胞嵌合</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828</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71</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250700017-4*4/ 250700012*2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细胞分选CD8+细胞嵌合</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828</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72</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250700017-4*4/ 250700012*2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细胞分选NK细胞嵌合</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828</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73</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250700017-4*4/ 250700012*2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细胞分选B细胞嵌合</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828</w:t>
            </w:r>
          </w:p>
        </w:tc>
      </w:tr>
      <w:tr w:rsidR="00C71667">
        <w:trPr>
          <w:trHeight w:val="480"/>
        </w:trPr>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74</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250700017-4*4/ 250700012*2</w:t>
            </w:r>
          </w:p>
        </w:tc>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细胞分选总T细胞嵌合</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71667" w:rsidRDefault="00493490">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828</w:t>
            </w:r>
          </w:p>
        </w:tc>
      </w:tr>
    </w:tbl>
    <w:p w:rsidR="00C71667" w:rsidRDefault="00C71667">
      <w:pPr>
        <w:rPr>
          <w:rFonts w:ascii="Calibri" w:hAnsi="Calibri"/>
          <w:b/>
          <w:szCs w:val="21"/>
        </w:rPr>
      </w:pPr>
    </w:p>
    <w:sectPr w:rsidR="00C71667" w:rsidSect="00C71667">
      <w:pgSz w:w="11906" w:h="16838"/>
      <w:pgMar w:top="1440" w:right="1800" w:bottom="993"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66048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E1" w:rsidRDefault="002059E1" w:rsidP="00C03CB8">
      <w:r>
        <w:separator/>
      </w:r>
    </w:p>
  </w:endnote>
  <w:endnote w:type="continuationSeparator" w:id="0">
    <w:p w:rsidR="002059E1" w:rsidRDefault="002059E1" w:rsidP="00C03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E1" w:rsidRDefault="002059E1" w:rsidP="00C03CB8">
      <w:r>
        <w:separator/>
      </w:r>
    </w:p>
  </w:footnote>
  <w:footnote w:type="continuationSeparator" w:id="0">
    <w:p w:rsidR="002059E1" w:rsidRDefault="002059E1" w:rsidP="00C03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3DF080"/>
    <w:multiLevelType w:val="singleLevel"/>
    <w:tmpl w:val="DF3DF080"/>
    <w:lvl w:ilvl="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
    <w15:presenceInfo w15:providerId="None" w15:userId="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c2ZTlhZjQwODk5OTNmMDAxOWU5ZmJlN2U0MWM5NDYifQ=="/>
  </w:docVars>
  <w:rsids>
    <w:rsidRoot w:val="00DE05F6"/>
    <w:rsid w:val="00002FAA"/>
    <w:rsid w:val="00070D7B"/>
    <w:rsid w:val="00192B9E"/>
    <w:rsid w:val="001E1D0A"/>
    <w:rsid w:val="002059E1"/>
    <w:rsid w:val="002749C5"/>
    <w:rsid w:val="002C0A3A"/>
    <w:rsid w:val="0033770F"/>
    <w:rsid w:val="004719B1"/>
    <w:rsid w:val="00477C3B"/>
    <w:rsid w:val="00493490"/>
    <w:rsid w:val="004E5BDC"/>
    <w:rsid w:val="00507DD2"/>
    <w:rsid w:val="00520FB3"/>
    <w:rsid w:val="00542B3A"/>
    <w:rsid w:val="005939F2"/>
    <w:rsid w:val="005A2E0F"/>
    <w:rsid w:val="00620CE9"/>
    <w:rsid w:val="00640DD2"/>
    <w:rsid w:val="008C20E3"/>
    <w:rsid w:val="008C4B9D"/>
    <w:rsid w:val="0097157A"/>
    <w:rsid w:val="00A50AFA"/>
    <w:rsid w:val="00A76723"/>
    <w:rsid w:val="00A9461C"/>
    <w:rsid w:val="00AE7FB5"/>
    <w:rsid w:val="00AF4D33"/>
    <w:rsid w:val="00B1575A"/>
    <w:rsid w:val="00B45CA7"/>
    <w:rsid w:val="00B74275"/>
    <w:rsid w:val="00BA1568"/>
    <w:rsid w:val="00C03CB8"/>
    <w:rsid w:val="00C71667"/>
    <w:rsid w:val="00D955E5"/>
    <w:rsid w:val="00DA1780"/>
    <w:rsid w:val="00DA4AB4"/>
    <w:rsid w:val="00DE05F6"/>
    <w:rsid w:val="00E96022"/>
    <w:rsid w:val="00F34F89"/>
    <w:rsid w:val="00F76CD9"/>
    <w:rsid w:val="066C1A43"/>
    <w:rsid w:val="12411633"/>
    <w:rsid w:val="1AC61C6D"/>
    <w:rsid w:val="1D4E1F88"/>
    <w:rsid w:val="22422BAF"/>
    <w:rsid w:val="30271994"/>
    <w:rsid w:val="326528E9"/>
    <w:rsid w:val="39B92BA1"/>
    <w:rsid w:val="39FC779F"/>
    <w:rsid w:val="3F696545"/>
    <w:rsid w:val="4CF8666B"/>
    <w:rsid w:val="50AD5FB0"/>
    <w:rsid w:val="61C6117D"/>
    <w:rsid w:val="62D05B77"/>
    <w:rsid w:val="6B865855"/>
    <w:rsid w:val="71571232"/>
    <w:rsid w:val="742922A5"/>
    <w:rsid w:val="7E142E42"/>
    <w:rsid w:val="7E553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6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7166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7166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C71667"/>
    <w:pPr>
      <w:jc w:val="left"/>
    </w:pPr>
  </w:style>
  <w:style w:type="paragraph" w:styleId="a4">
    <w:name w:val="Plain Text"/>
    <w:basedOn w:val="a"/>
    <w:link w:val="Char"/>
    <w:qFormat/>
    <w:rsid w:val="00C71667"/>
    <w:rPr>
      <w:rFonts w:ascii="宋体" w:eastAsia="宋体" w:hAnsi="Courier New" w:cs="Courier New"/>
      <w:szCs w:val="21"/>
    </w:rPr>
  </w:style>
  <w:style w:type="paragraph" w:styleId="a5">
    <w:name w:val="footer"/>
    <w:basedOn w:val="a"/>
    <w:link w:val="Char0"/>
    <w:uiPriority w:val="99"/>
    <w:unhideWhenUsed/>
    <w:qFormat/>
    <w:rsid w:val="00C71667"/>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C7166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71667"/>
    <w:pPr>
      <w:widowControl/>
      <w:spacing w:before="100" w:beforeAutospacing="1" w:after="100" w:afterAutospacing="1"/>
      <w:jc w:val="left"/>
    </w:pPr>
    <w:rPr>
      <w:rFonts w:ascii="宋体" w:eastAsia="宋体" w:hAnsi="宋体" w:cs="Times New Roman"/>
      <w:color w:val="000000"/>
      <w:kern w:val="0"/>
      <w:sz w:val="24"/>
      <w:szCs w:val="24"/>
    </w:rPr>
  </w:style>
  <w:style w:type="table" w:styleId="a8">
    <w:name w:val="Table Grid"/>
    <w:basedOn w:val="a1"/>
    <w:uiPriority w:val="39"/>
    <w:qFormat/>
    <w:rsid w:val="00C71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纯文本 Char"/>
    <w:basedOn w:val="a0"/>
    <w:link w:val="a4"/>
    <w:qFormat/>
    <w:rsid w:val="00C71667"/>
    <w:rPr>
      <w:rFonts w:ascii="宋体" w:eastAsia="宋体" w:hAnsi="Courier New" w:cs="Courier New"/>
      <w:szCs w:val="21"/>
    </w:rPr>
  </w:style>
  <w:style w:type="paragraph" w:styleId="a9">
    <w:name w:val="List Paragraph"/>
    <w:basedOn w:val="a"/>
    <w:uiPriority w:val="99"/>
    <w:qFormat/>
    <w:rsid w:val="00C71667"/>
    <w:pPr>
      <w:ind w:firstLineChars="200" w:firstLine="420"/>
    </w:pPr>
  </w:style>
  <w:style w:type="character" w:customStyle="1" w:styleId="1Char">
    <w:name w:val="标题 1 Char"/>
    <w:basedOn w:val="a0"/>
    <w:link w:val="1"/>
    <w:uiPriority w:val="9"/>
    <w:qFormat/>
    <w:rsid w:val="00C71667"/>
    <w:rPr>
      <w:b/>
      <w:bCs/>
      <w:kern w:val="44"/>
      <w:sz w:val="44"/>
      <w:szCs w:val="44"/>
    </w:rPr>
  </w:style>
  <w:style w:type="character" w:customStyle="1" w:styleId="2Char">
    <w:name w:val="标题 2 Char"/>
    <w:basedOn w:val="a0"/>
    <w:link w:val="2"/>
    <w:uiPriority w:val="9"/>
    <w:qFormat/>
    <w:rsid w:val="00C71667"/>
    <w:rPr>
      <w:rFonts w:asciiTheme="majorHAnsi" w:eastAsiaTheme="majorEastAsia" w:hAnsiTheme="majorHAnsi" w:cstheme="majorBidi"/>
      <w:b/>
      <w:bCs/>
      <w:sz w:val="32"/>
      <w:szCs w:val="32"/>
    </w:rPr>
  </w:style>
  <w:style w:type="character" w:customStyle="1" w:styleId="Char1">
    <w:name w:val="页眉 Char"/>
    <w:basedOn w:val="a0"/>
    <w:link w:val="a6"/>
    <w:uiPriority w:val="99"/>
    <w:qFormat/>
    <w:rsid w:val="00C71667"/>
    <w:rPr>
      <w:sz w:val="18"/>
      <w:szCs w:val="18"/>
    </w:rPr>
  </w:style>
  <w:style w:type="character" w:customStyle="1" w:styleId="Char0">
    <w:name w:val="页脚 Char"/>
    <w:basedOn w:val="a0"/>
    <w:link w:val="a5"/>
    <w:uiPriority w:val="99"/>
    <w:qFormat/>
    <w:rsid w:val="00C71667"/>
    <w:rPr>
      <w:sz w:val="18"/>
      <w:szCs w:val="18"/>
    </w:rPr>
  </w:style>
  <w:style w:type="character" w:styleId="aa">
    <w:name w:val="annotation reference"/>
    <w:basedOn w:val="a0"/>
    <w:uiPriority w:val="99"/>
    <w:semiHidden/>
    <w:unhideWhenUsed/>
    <w:rsid w:val="00C71667"/>
    <w:rPr>
      <w:sz w:val="21"/>
      <w:szCs w:val="21"/>
    </w:rPr>
  </w:style>
  <w:style w:type="paragraph" w:styleId="ab">
    <w:name w:val="Balloon Text"/>
    <w:basedOn w:val="a"/>
    <w:link w:val="Char2"/>
    <w:uiPriority w:val="99"/>
    <w:semiHidden/>
    <w:unhideWhenUsed/>
    <w:rsid w:val="00C03CB8"/>
    <w:rPr>
      <w:sz w:val="18"/>
      <w:szCs w:val="18"/>
    </w:rPr>
  </w:style>
  <w:style w:type="character" w:customStyle="1" w:styleId="Char2">
    <w:name w:val="批注框文本 Char"/>
    <w:basedOn w:val="a0"/>
    <w:link w:val="ab"/>
    <w:uiPriority w:val="99"/>
    <w:semiHidden/>
    <w:rsid w:val="00C03CB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73F642-E772-4BD7-AD4B-9549DF5B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607</Words>
  <Characters>3464</Characters>
  <Application>Microsoft Office Word</Application>
  <DocSecurity>0</DocSecurity>
  <Lines>28</Lines>
  <Paragraphs>8</Paragraphs>
  <ScaleCrop>false</ScaleCrop>
  <Company>daanhealth</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officer</cp:lastModifiedBy>
  <cp:revision>14</cp:revision>
  <dcterms:created xsi:type="dcterms:W3CDTF">2022-10-21T09:28:00Z</dcterms:created>
  <dcterms:modified xsi:type="dcterms:W3CDTF">2022-10-24T09:45:00Z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12C5D9794435441CA73693542CDAB944</vt:lpwstr>
  </property>
</Properties>
</file>