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03" w:rsidRDefault="00B87935">
      <w:pPr>
        <w:adjustRightInd w:val="0"/>
        <w:snapToGrid w:val="0"/>
        <w:spacing w:line="560" w:lineRule="exact"/>
        <w:ind w:left="851" w:hanging="851"/>
        <w:jc w:val="center"/>
        <w:rPr>
          <w:rFonts w:ascii="宋体" w:hAnsi="宋体"/>
          <w:b/>
          <w:sz w:val="44"/>
          <w:szCs w:val="44"/>
        </w:rPr>
      </w:pPr>
      <w:bookmarkStart w:id="0" w:name="_GoBack"/>
      <w:bookmarkEnd w:id="0"/>
      <w:r>
        <w:rPr>
          <w:rFonts w:ascii="宋体" w:hAnsi="宋体" w:hint="eastAsia"/>
          <w:b/>
          <w:sz w:val="44"/>
          <w:szCs w:val="44"/>
        </w:rPr>
        <w:t>肠道菌群技术服务用</w:t>
      </w:r>
      <w:r w:rsidR="00116ABD">
        <w:rPr>
          <w:rFonts w:ascii="宋体" w:hAnsi="宋体" w:hint="eastAsia"/>
          <w:b/>
          <w:sz w:val="44"/>
          <w:szCs w:val="44"/>
        </w:rPr>
        <w:t>户需求书</w:t>
      </w:r>
    </w:p>
    <w:p w:rsidR="009D7103" w:rsidRPr="007261D1" w:rsidRDefault="00116ABD">
      <w:pPr>
        <w:pStyle w:val="a6"/>
        <w:numPr>
          <w:ilvl w:val="0"/>
          <w:numId w:val="1"/>
        </w:numPr>
        <w:spacing w:line="560" w:lineRule="exact"/>
        <w:ind w:rightChars="-244" w:right="-512" w:firstLineChars="0"/>
        <w:rPr>
          <w:rFonts w:ascii="黑体" w:eastAsia="黑体" w:hAnsi="黑体"/>
          <w:snapToGrid w:val="0"/>
          <w:color w:val="000000"/>
          <w:spacing w:val="10"/>
          <w:kern w:val="24"/>
        </w:rPr>
      </w:pPr>
      <w:r w:rsidRPr="007261D1">
        <w:rPr>
          <w:rFonts w:ascii="黑体" w:eastAsia="黑体" w:hAnsi="黑体" w:hint="eastAsia"/>
          <w:snapToGrid w:val="0"/>
          <w:color w:val="000000"/>
          <w:spacing w:val="10"/>
          <w:kern w:val="24"/>
        </w:rPr>
        <w:t>委托检测内容</w:t>
      </w:r>
    </w:p>
    <w:p w:rsidR="009D7103" w:rsidRPr="006B7B76" w:rsidRDefault="00116ABD" w:rsidP="004A13F7">
      <w:pPr>
        <w:spacing w:line="360" w:lineRule="auto"/>
        <w:ind w:firstLineChars="200" w:firstLine="480"/>
        <w:rPr>
          <w:rFonts w:ascii="仿宋" w:eastAsia="仿宋" w:hAnsi="仿宋"/>
          <w:sz w:val="24"/>
        </w:rPr>
      </w:pPr>
      <w:r w:rsidRPr="006B7B76">
        <w:rPr>
          <w:rFonts w:ascii="仿宋" w:eastAsia="仿宋" w:hAnsi="仿宋" w:hint="eastAsia"/>
          <w:sz w:val="24"/>
        </w:rPr>
        <w:t>1</w:t>
      </w:r>
      <w:r w:rsidR="003A1481" w:rsidRPr="006B7B76">
        <w:rPr>
          <w:rFonts w:ascii="仿宋" w:eastAsia="仿宋" w:hAnsi="仿宋" w:hint="eastAsia"/>
          <w:sz w:val="24"/>
        </w:rPr>
        <w:t>.</w:t>
      </w:r>
      <w:r w:rsidRPr="006B7B76">
        <w:rPr>
          <w:rFonts w:ascii="仿宋" w:eastAsia="仿宋" w:hAnsi="仿宋" w:hint="eastAsia"/>
          <w:sz w:val="24"/>
        </w:rPr>
        <w:t>宏基因组测序：粪便或血液样品</w:t>
      </w:r>
    </w:p>
    <w:p w:rsidR="009D7103" w:rsidRPr="006B7B76" w:rsidRDefault="00116ABD" w:rsidP="004A13F7">
      <w:pPr>
        <w:spacing w:line="360" w:lineRule="auto"/>
        <w:ind w:firstLineChars="200" w:firstLine="480"/>
        <w:rPr>
          <w:rFonts w:ascii="仿宋" w:eastAsia="仿宋" w:hAnsi="仿宋"/>
          <w:sz w:val="24"/>
          <w:szCs w:val="24"/>
        </w:rPr>
      </w:pPr>
      <w:r w:rsidRPr="006B7B76">
        <w:rPr>
          <w:rFonts w:ascii="仿宋" w:eastAsia="仿宋" w:hAnsi="仿宋" w:hint="eastAsia"/>
          <w:sz w:val="24"/>
          <w:szCs w:val="24"/>
        </w:rPr>
        <w:t>宏基因组研究以环境中所有微生物基因组为研究对象，通过对环境样品中的全基因组DNA进行高通量测序，获得单个样品的饱和数据量，基于denovo组装进行微生物群落结构多样性，微生物群体基因组成及功能，特定环境相关的代谢通路等分析，从而进一步发掘和研究具有应用价值的基因及环境中微生物群落内部、微生物与环境间的相互关系。构建的环境微生物基因集，可为环境中微生物的研究、开发和利用提供基因资源库。质量合格的基因组 DNA 样品通过超声波高性能样品处理系统（Covaris）随机打断，经过片段选择后得到 300bp左右的片段。加上接头，进行cluster制备，最后利用Paired-End的方法对插入片段进行测序，得到的原始数据经过质控和数据过滤，宏基因组组装、基因预测、构建参考基因集。</w:t>
      </w:r>
    </w:p>
    <w:p w:rsidR="009D7103" w:rsidRPr="006B7B76" w:rsidRDefault="003A1481" w:rsidP="004A13F7">
      <w:pPr>
        <w:spacing w:line="360" w:lineRule="auto"/>
        <w:ind w:firstLineChars="200" w:firstLine="480"/>
        <w:rPr>
          <w:rFonts w:ascii="仿宋" w:eastAsia="仿宋" w:hAnsi="仿宋"/>
          <w:sz w:val="24"/>
        </w:rPr>
      </w:pPr>
      <w:r w:rsidRPr="006B7B76">
        <w:rPr>
          <w:rFonts w:ascii="仿宋" w:eastAsia="仿宋" w:hAnsi="仿宋" w:hint="eastAsia"/>
          <w:sz w:val="24"/>
        </w:rPr>
        <w:t>2.</w:t>
      </w:r>
      <w:r w:rsidR="00116ABD" w:rsidRPr="006B7B76">
        <w:rPr>
          <w:rFonts w:ascii="仿宋" w:eastAsia="仿宋" w:hAnsi="仿宋" w:hint="eastAsia"/>
          <w:sz w:val="24"/>
        </w:rPr>
        <w:t>宏转录组测序：粪便或血液样品</w:t>
      </w:r>
    </w:p>
    <w:p w:rsidR="009D7103" w:rsidRPr="006B7B76" w:rsidRDefault="00116ABD" w:rsidP="004A13F7">
      <w:pPr>
        <w:spacing w:line="360" w:lineRule="auto"/>
        <w:ind w:firstLineChars="200" w:firstLine="480"/>
        <w:rPr>
          <w:rFonts w:ascii="仿宋" w:eastAsia="仿宋" w:hAnsi="仿宋" w:cs="宋体"/>
          <w:sz w:val="24"/>
          <w:szCs w:val="24"/>
        </w:rPr>
      </w:pPr>
      <w:r w:rsidRPr="006B7B76">
        <w:rPr>
          <w:rFonts w:ascii="仿宋" w:eastAsia="仿宋" w:hAnsi="仿宋" w:cs="宋体"/>
          <w:sz w:val="24"/>
          <w:szCs w:val="24"/>
        </w:rPr>
        <w:t>宏转录组是从整体水平上研究某一特定环境，特定时期群体生命全部基因组转录情况以及转录调控规律，它以生态环境中的全部RNA为研究对象，避开了微生物分离培养困难的问题，能有效的扩展微生物资源的利用空间。相较于宏基因组，宏转录组能从转录水平研究复杂微生物群落变化，能更好的挖掘潜在的新基因。</w:t>
      </w:r>
    </w:p>
    <w:p w:rsidR="009D7103" w:rsidRPr="006B7B76" w:rsidRDefault="003A1481" w:rsidP="004A13F7">
      <w:pPr>
        <w:spacing w:line="360" w:lineRule="auto"/>
        <w:ind w:firstLineChars="200" w:firstLine="480"/>
        <w:rPr>
          <w:rFonts w:ascii="仿宋" w:eastAsia="仿宋" w:hAnsi="仿宋"/>
          <w:sz w:val="24"/>
        </w:rPr>
      </w:pPr>
      <w:r w:rsidRPr="006B7B76">
        <w:rPr>
          <w:rFonts w:ascii="仿宋" w:eastAsia="仿宋" w:hAnsi="仿宋" w:hint="eastAsia"/>
          <w:sz w:val="24"/>
        </w:rPr>
        <w:t>3.</w:t>
      </w:r>
      <w:r w:rsidR="00116ABD" w:rsidRPr="006B7B76">
        <w:rPr>
          <w:rFonts w:ascii="仿宋" w:eastAsia="仿宋" w:hAnsi="仿宋" w:hint="eastAsia"/>
          <w:sz w:val="24"/>
        </w:rPr>
        <w:t>宏蛋白组测序：粪便或血液样品</w:t>
      </w:r>
    </w:p>
    <w:p w:rsidR="009D7103" w:rsidRPr="006B7B76" w:rsidRDefault="00116ABD" w:rsidP="004A13F7">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宏蛋白组学是应用蛋白组学技术对微生物群落进行研究的一项新技术，在特定时间对微生物群落的所有蛋白组的组成进行大规模的鉴定。所研究种类非常多样化，比如活性淤泥中的微生物，海洋微生物，土壤中的微生物，发酵食品中的微生物，肠道微生物，粪便、黏膜腔等。宏蛋白质组分析的基础来自于宏基因组测序的结果，其数据库来源主要通过两种手段：通过16s测序得到大体物种组成后在公共数据库中提取相应物种序列数据库进行整合；或者通过全基因组/转录组测序等手段深度测序样品中的DNA/转录组信息。</w:t>
      </w:r>
    </w:p>
    <w:p w:rsidR="009D7103" w:rsidRPr="007261D1" w:rsidRDefault="00116ABD" w:rsidP="007261D1">
      <w:pPr>
        <w:pStyle w:val="a6"/>
        <w:numPr>
          <w:ilvl w:val="0"/>
          <w:numId w:val="1"/>
        </w:numPr>
        <w:spacing w:line="560" w:lineRule="exact"/>
        <w:ind w:rightChars="-244" w:right="-512" w:firstLineChars="0"/>
        <w:rPr>
          <w:rFonts w:ascii="黑体" w:eastAsia="黑体" w:hAnsi="黑体"/>
          <w:snapToGrid w:val="0"/>
          <w:color w:val="000000"/>
          <w:spacing w:val="10"/>
          <w:kern w:val="24"/>
        </w:rPr>
      </w:pPr>
      <w:r w:rsidRPr="007261D1">
        <w:rPr>
          <w:rFonts w:ascii="黑体" w:eastAsia="黑体" w:hAnsi="黑体" w:hint="eastAsia"/>
          <w:snapToGrid w:val="0"/>
          <w:color w:val="000000"/>
          <w:spacing w:val="10"/>
          <w:kern w:val="24"/>
        </w:rPr>
        <w:t>实验室能力要求</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1</w:t>
      </w:r>
      <w:r w:rsidR="003A1481" w:rsidRPr="006B7B76">
        <w:rPr>
          <w:rFonts w:ascii="仿宋" w:eastAsia="仿宋" w:hAnsi="仿宋" w:cs="宋体" w:hint="eastAsia"/>
          <w:sz w:val="24"/>
          <w:szCs w:val="24"/>
        </w:rPr>
        <w:t>.</w:t>
      </w:r>
      <w:r w:rsidRPr="006B7B76">
        <w:rPr>
          <w:rFonts w:ascii="仿宋" w:eastAsia="仿宋" w:hAnsi="仿宋" w:cs="宋体"/>
          <w:sz w:val="24"/>
          <w:szCs w:val="24"/>
        </w:rPr>
        <w:t>应具备以下条件</w:t>
      </w:r>
      <w:r w:rsidRPr="006B7B76">
        <w:rPr>
          <w:rFonts w:ascii="仿宋" w:eastAsia="仿宋" w:hAnsi="仿宋" w:cs="宋体" w:hint="eastAsia"/>
          <w:sz w:val="24"/>
          <w:szCs w:val="24"/>
        </w:rPr>
        <w:t>：</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sz w:val="24"/>
          <w:szCs w:val="24"/>
        </w:rPr>
        <w:lastRenderedPageBreak/>
        <w:t>1)</w:t>
      </w:r>
      <w:r w:rsidRPr="006B7B76">
        <w:rPr>
          <w:rFonts w:ascii="仿宋" w:eastAsia="仿宋" w:hAnsi="仿宋" w:cs="宋体"/>
          <w:sz w:val="24"/>
          <w:szCs w:val="24"/>
        </w:rPr>
        <w:tab/>
        <w:t>具有独立承担民事责任的能力；（提供有效的营业执照或事业法人登记证等相关证明复印件）</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sz w:val="24"/>
          <w:szCs w:val="24"/>
        </w:rPr>
        <w:t>2)</w:t>
      </w:r>
      <w:r w:rsidRPr="006B7B76">
        <w:rPr>
          <w:rFonts w:ascii="仿宋" w:eastAsia="仿宋" w:hAnsi="仿宋" w:cs="宋体"/>
          <w:sz w:val="24"/>
          <w:szCs w:val="24"/>
        </w:rPr>
        <w:tab/>
        <w:t>具有良好的商业信誉和健全的财务会计制度；（提供财务状况报告或提供银行出具的资信证明材料复印件）</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sz w:val="24"/>
          <w:szCs w:val="24"/>
        </w:rPr>
        <w:t>3)</w:t>
      </w:r>
      <w:r w:rsidRPr="006B7B76">
        <w:rPr>
          <w:rFonts w:ascii="仿宋" w:eastAsia="仿宋" w:hAnsi="仿宋" w:cs="宋体"/>
          <w:sz w:val="24"/>
          <w:szCs w:val="24"/>
        </w:rPr>
        <w:tab/>
        <w:t>具有履行合同所必需的设备和专业技术能力；（提供履行合同所必需的设备和专业技术能力的书面声明）</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4</w:t>
      </w:r>
      <w:r w:rsidRPr="006B7B76">
        <w:rPr>
          <w:rFonts w:ascii="仿宋" w:eastAsia="仿宋" w:hAnsi="仿宋" w:cs="宋体"/>
          <w:sz w:val="24"/>
          <w:szCs w:val="24"/>
        </w:rPr>
        <w:t>)</w:t>
      </w:r>
      <w:r w:rsidRPr="006B7B76">
        <w:rPr>
          <w:rFonts w:ascii="仿宋" w:eastAsia="仿宋" w:hAnsi="仿宋" w:cs="宋体"/>
          <w:sz w:val="24"/>
          <w:szCs w:val="24"/>
        </w:rPr>
        <w:tab/>
        <w:t>法律、行政法规规定的其他条件。</w:t>
      </w:r>
    </w:p>
    <w:p w:rsidR="009D7103" w:rsidRPr="006B7B76" w:rsidRDefault="00116ABD" w:rsidP="000361F5">
      <w:pPr>
        <w:spacing w:line="360" w:lineRule="auto"/>
        <w:rPr>
          <w:rFonts w:ascii="仿宋" w:eastAsia="仿宋" w:hAnsi="仿宋" w:cs="宋体"/>
          <w:sz w:val="24"/>
          <w:szCs w:val="24"/>
        </w:rPr>
      </w:pPr>
      <w:r w:rsidRPr="006B7B76">
        <w:rPr>
          <w:rFonts w:ascii="仿宋" w:eastAsia="仿宋" w:hAnsi="仿宋" w:cs="宋体" w:hint="eastAsia"/>
          <w:sz w:val="24"/>
          <w:szCs w:val="24"/>
        </w:rPr>
        <w:t>2</w:t>
      </w:r>
      <w:r w:rsidR="003A1481" w:rsidRPr="006B7B76">
        <w:rPr>
          <w:rFonts w:ascii="仿宋" w:eastAsia="仿宋" w:hAnsi="仿宋" w:cs="宋体" w:hint="eastAsia"/>
          <w:sz w:val="24"/>
          <w:szCs w:val="24"/>
        </w:rPr>
        <w:t>.</w:t>
      </w:r>
      <w:r w:rsidRPr="006B7B76">
        <w:rPr>
          <w:rFonts w:ascii="仿宋" w:eastAsia="仿宋" w:hAnsi="仿宋" w:cs="宋体" w:hint="eastAsia"/>
          <w:sz w:val="24"/>
          <w:szCs w:val="24"/>
        </w:rPr>
        <w:t>应</w:t>
      </w:r>
      <w:r w:rsidRPr="006B7B76">
        <w:rPr>
          <w:rFonts w:ascii="仿宋" w:eastAsia="仿宋" w:hAnsi="仿宋" w:cs="宋体"/>
          <w:sz w:val="24"/>
          <w:szCs w:val="24"/>
        </w:rPr>
        <w:t>具有</w:t>
      </w:r>
      <w:r w:rsidRPr="006B7B76">
        <w:rPr>
          <w:rFonts w:ascii="仿宋" w:eastAsia="仿宋" w:hAnsi="仿宋" w:cs="宋体" w:hint="eastAsia"/>
          <w:sz w:val="24"/>
          <w:szCs w:val="24"/>
        </w:rPr>
        <w:t>使用</w:t>
      </w:r>
      <w:r w:rsidRPr="006B7B76">
        <w:rPr>
          <w:rFonts w:ascii="仿宋" w:eastAsia="仿宋" w:hAnsi="仿宋" w:cs="宋体"/>
          <w:sz w:val="24"/>
          <w:szCs w:val="24"/>
        </w:rPr>
        <w:t>质谱平台、样品制备实力、</w:t>
      </w:r>
      <w:r w:rsidRPr="006B7B76">
        <w:rPr>
          <w:rFonts w:ascii="仿宋" w:eastAsia="仿宋" w:hAnsi="仿宋" w:cs="宋体" w:hint="eastAsia"/>
          <w:sz w:val="24"/>
          <w:szCs w:val="24"/>
        </w:rPr>
        <w:t>标准化的</w:t>
      </w:r>
      <w:r w:rsidRPr="006B7B76">
        <w:rPr>
          <w:rFonts w:ascii="仿宋" w:eastAsia="仿宋" w:hAnsi="仿宋" w:cs="宋体"/>
          <w:sz w:val="24"/>
          <w:szCs w:val="24"/>
        </w:rPr>
        <w:t>SOP</w:t>
      </w:r>
      <w:r w:rsidRPr="006B7B76">
        <w:rPr>
          <w:rFonts w:ascii="仿宋" w:eastAsia="仿宋" w:hAnsi="仿宋" w:cs="宋体" w:hint="eastAsia"/>
          <w:sz w:val="24"/>
          <w:szCs w:val="24"/>
        </w:rPr>
        <w:t>流程、</w:t>
      </w:r>
      <w:r w:rsidRPr="006B7B76">
        <w:rPr>
          <w:rFonts w:ascii="仿宋" w:eastAsia="仿宋" w:hAnsi="仿宋" w:cs="宋体"/>
          <w:sz w:val="24"/>
          <w:szCs w:val="24"/>
        </w:rPr>
        <w:t>生物信息分析。</w:t>
      </w:r>
    </w:p>
    <w:p w:rsidR="009D7103" w:rsidRPr="006B7B76" w:rsidRDefault="00116ABD" w:rsidP="000361F5">
      <w:pPr>
        <w:spacing w:line="360" w:lineRule="auto"/>
        <w:rPr>
          <w:rFonts w:ascii="仿宋" w:eastAsia="仿宋" w:hAnsi="仿宋" w:cs="宋体"/>
          <w:sz w:val="24"/>
          <w:szCs w:val="24"/>
        </w:rPr>
      </w:pPr>
      <w:r w:rsidRPr="006B7B76">
        <w:rPr>
          <w:rFonts w:ascii="仿宋" w:eastAsia="仿宋" w:hAnsi="仿宋" w:cs="宋体" w:hint="eastAsia"/>
          <w:sz w:val="24"/>
          <w:szCs w:val="24"/>
        </w:rPr>
        <w:t>3</w:t>
      </w:r>
      <w:r w:rsidR="003A1481" w:rsidRPr="006B7B76">
        <w:rPr>
          <w:rFonts w:ascii="仿宋" w:eastAsia="仿宋" w:hAnsi="仿宋" w:cs="宋体" w:hint="eastAsia"/>
          <w:sz w:val="24"/>
          <w:szCs w:val="24"/>
        </w:rPr>
        <w:t>.</w:t>
      </w:r>
      <w:r w:rsidRPr="006B7B76">
        <w:rPr>
          <w:rFonts w:ascii="仿宋" w:eastAsia="仿宋" w:hAnsi="仿宋" w:cs="宋体" w:hint="eastAsia"/>
          <w:sz w:val="24"/>
          <w:szCs w:val="24"/>
        </w:rPr>
        <w:t>具有丰富的科研项目经验。</w:t>
      </w:r>
    </w:p>
    <w:p w:rsidR="009D7103" w:rsidRPr="007261D1" w:rsidRDefault="00116ABD" w:rsidP="007261D1">
      <w:pPr>
        <w:pStyle w:val="a6"/>
        <w:numPr>
          <w:ilvl w:val="0"/>
          <w:numId w:val="1"/>
        </w:numPr>
        <w:spacing w:line="560" w:lineRule="exact"/>
        <w:ind w:rightChars="-244" w:right="-512" w:firstLineChars="0"/>
        <w:rPr>
          <w:rFonts w:ascii="黑体" w:eastAsia="黑体" w:hAnsi="黑体"/>
          <w:snapToGrid w:val="0"/>
          <w:color w:val="000000"/>
          <w:spacing w:val="10"/>
          <w:kern w:val="24"/>
        </w:rPr>
      </w:pPr>
      <w:r w:rsidRPr="007261D1">
        <w:rPr>
          <w:rFonts w:ascii="黑体" w:eastAsia="黑体" w:hAnsi="黑体" w:hint="eastAsia"/>
          <w:snapToGrid w:val="0"/>
          <w:color w:val="000000"/>
          <w:spacing w:val="10"/>
          <w:kern w:val="24"/>
        </w:rPr>
        <w:t>服务要求</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根据采购人科研业务需求提供相应科研项目服务，提供委托科研项目标本处理、冷链运输、检测服务、生物信息分析。</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1</w:t>
      </w:r>
      <w:r w:rsidR="003A1481" w:rsidRPr="006B7B76">
        <w:rPr>
          <w:rFonts w:ascii="仿宋" w:eastAsia="仿宋" w:hAnsi="仿宋" w:cs="宋体" w:hint="eastAsia"/>
          <w:sz w:val="24"/>
          <w:szCs w:val="24"/>
        </w:rPr>
        <w:t>.</w:t>
      </w:r>
      <w:r w:rsidRPr="006B7B76">
        <w:rPr>
          <w:rFonts w:ascii="仿宋" w:eastAsia="仿宋" w:hAnsi="仿宋" w:cs="宋体" w:hint="eastAsia"/>
          <w:sz w:val="24"/>
          <w:szCs w:val="24"/>
        </w:rPr>
        <w:t>服务响应：可以根据科研需要，提供上门收取标本服务，检测报告按照双方约定的出报告时间出具。详情如下：样品信息单经乙方确认无误、样品检测合格后，检测报告30个工作日内交付。</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2</w:t>
      </w:r>
      <w:r w:rsidR="003A1481" w:rsidRPr="006B7B76">
        <w:rPr>
          <w:rFonts w:ascii="仿宋" w:eastAsia="仿宋" w:hAnsi="仿宋" w:cs="宋体" w:hint="eastAsia"/>
          <w:sz w:val="24"/>
          <w:szCs w:val="24"/>
        </w:rPr>
        <w:t>.</w:t>
      </w:r>
      <w:r w:rsidRPr="006B7B76">
        <w:rPr>
          <w:rFonts w:ascii="仿宋" w:eastAsia="仿宋" w:hAnsi="仿宋" w:cs="宋体" w:hint="eastAsia"/>
          <w:sz w:val="24"/>
          <w:szCs w:val="24"/>
        </w:rPr>
        <w:t>质量保障：保证委托检验项目检测质量，具备委托检验项目的相应检测设备、技术人才，并有检验前、检验中、检验后质量保障措施。检验前质量保障措施包括标本采集要求培训，标本箱运送温度控制及安全性保障；检验中质量保障措施包括标准化的操作规范、数据质控等；检验后质量保障措施包括异常结果处理流程。</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3</w:t>
      </w:r>
      <w:r w:rsidR="003A1481" w:rsidRPr="006B7B76">
        <w:rPr>
          <w:rFonts w:ascii="仿宋" w:eastAsia="仿宋" w:hAnsi="仿宋" w:cs="宋体" w:hint="eastAsia"/>
          <w:sz w:val="24"/>
          <w:szCs w:val="24"/>
        </w:rPr>
        <w:t>.</w:t>
      </w:r>
      <w:r w:rsidRPr="006B7B76">
        <w:rPr>
          <w:rFonts w:ascii="仿宋" w:eastAsia="仿宋" w:hAnsi="仿宋" w:cs="宋体" w:hint="eastAsia"/>
          <w:sz w:val="24"/>
          <w:szCs w:val="24"/>
        </w:rPr>
        <w:t>生物信息分析：提供专业的结果报告解答服务，多组学生信分析服务，提供免费的蛋白组BioLadder云平台进行分析。</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4</w:t>
      </w:r>
      <w:r w:rsidR="003A1481" w:rsidRPr="006B7B76">
        <w:rPr>
          <w:rFonts w:ascii="仿宋" w:eastAsia="仿宋" w:hAnsi="仿宋" w:cs="宋体" w:hint="eastAsia"/>
          <w:sz w:val="24"/>
          <w:szCs w:val="24"/>
        </w:rPr>
        <w:t>.</w:t>
      </w:r>
      <w:r w:rsidRPr="006B7B76">
        <w:rPr>
          <w:rFonts w:ascii="仿宋" w:eastAsia="仿宋" w:hAnsi="仿宋" w:cs="宋体" w:hint="eastAsia"/>
          <w:sz w:val="24"/>
          <w:szCs w:val="24"/>
        </w:rPr>
        <w:t>正常对照样品使用：可以提供</w:t>
      </w:r>
      <w:r w:rsidR="00BB3D42">
        <w:rPr>
          <w:rFonts w:ascii="仿宋" w:eastAsia="仿宋" w:hAnsi="仿宋" w:cs="宋体" w:hint="eastAsia"/>
          <w:sz w:val="24"/>
          <w:szCs w:val="24"/>
        </w:rPr>
        <w:t>至少</w:t>
      </w:r>
      <w:r w:rsidRPr="006B7B76">
        <w:rPr>
          <w:rFonts w:ascii="仿宋" w:eastAsia="仿宋" w:hAnsi="仿宋" w:cs="宋体" w:hint="eastAsia"/>
          <w:sz w:val="24"/>
          <w:szCs w:val="24"/>
        </w:rPr>
        <w:t>800例正常的对照样品（粪便或血液样品）的数据供项目使用，其具体要求包括：对照数据表型信息必须至少包含性别、年龄、民族（需为汉族）和吸烟史等信。</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5</w:t>
      </w:r>
      <w:r w:rsidR="003A1481" w:rsidRPr="006B7B76">
        <w:rPr>
          <w:rFonts w:ascii="仿宋" w:eastAsia="仿宋" w:hAnsi="仿宋" w:cs="宋体" w:hint="eastAsia"/>
          <w:sz w:val="24"/>
          <w:szCs w:val="24"/>
        </w:rPr>
        <w:t>.</w:t>
      </w:r>
      <w:r w:rsidRPr="006B7B76">
        <w:rPr>
          <w:rFonts w:ascii="仿宋" w:eastAsia="仿宋" w:hAnsi="仿宋" w:cs="宋体" w:hint="eastAsia"/>
          <w:sz w:val="24"/>
          <w:szCs w:val="24"/>
        </w:rPr>
        <w:t>冷链物流服务：提供冷链物流服务，标本箱具备，确保标本运输过程的安全及有效。</w:t>
      </w:r>
    </w:p>
    <w:p w:rsidR="009D7103" w:rsidRPr="007261D1" w:rsidRDefault="00116ABD" w:rsidP="007261D1">
      <w:pPr>
        <w:pStyle w:val="a6"/>
        <w:numPr>
          <w:ilvl w:val="0"/>
          <w:numId w:val="1"/>
        </w:numPr>
        <w:spacing w:line="560" w:lineRule="exact"/>
        <w:ind w:rightChars="-244" w:right="-512" w:firstLineChars="0"/>
        <w:rPr>
          <w:rFonts w:ascii="黑体" w:eastAsia="黑体" w:hAnsi="黑体"/>
          <w:snapToGrid w:val="0"/>
          <w:color w:val="000000"/>
          <w:spacing w:val="10"/>
          <w:kern w:val="24"/>
        </w:rPr>
      </w:pPr>
      <w:r w:rsidRPr="007261D1">
        <w:rPr>
          <w:rFonts w:ascii="黑体" w:eastAsia="黑体" w:hAnsi="黑体" w:hint="eastAsia"/>
          <w:snapToGrid w:val="0"/>
          <w:color w:val="000000"/>
          <w:spacing w:val="10"/>
          <w:kern w:val="24"/>
        </w:rPr>
        <w:t>结果报告要求</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lastRenderedPageBreak/>
        <w:t>在完成本合同约定的工作后，以ftp或者电子邮件方式发送结果报告给甲方，说明项目完成情况。</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结果报告内容包括如下内容：</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☆实验流程，实验过程中用到的仪器、试剂、耗材及生产厂商；</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☆质控报告，包含质量评估各项内容统计；</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☆原始数据</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☆分析报告，包括生物信息学分析的结果及产生的相关文件（不分析项目除外）。</w:t>
      </w:r>
    </w:p>
    <w:p w:rsidR="009D7103" w:rsidRPr="007261D1" w:rsidRDefault="00116ABD" w:rsidP="007261D1">
      <w:pPr>
        <w:pStyle w:val="a6"/>
        <w:numPr>
          <w:ilvl w:val="0"/>
          <w:numId w:val="1"/>
        </w:numPr>
        <w:spacing w:line="560" w:lineRule="exact"/>
        <w:ind w:rightChars="-244" w:right="-512" w:firstLineChars="0"/>
        <w:rPr>
          <w:rFonts w:ascii="黑体" w:eastAsia="黑体" w:hAnsi="黑体"/>
          <w:snapToGrid w:val="0"/>
          <w:color w:val="000000"/>
          <w:spacing w:val="10"/>
          <w:kern w:val="24"/>
        </w:rPr>
      </w:pPr>
      <w:r w:rsidRPr="007261D1">
        <w:rPr>
          <w:rFonts w:ascii="黑体" w:eastAsia="黑体" w:hAnsi="黑体" w:hint="eastAsia"/>
          <w:snapToGrid w:val="0"/>
          <w:color w:val="000000"/>
          <w:spacing w:val="10"/>
          <w:kern w:val="24"/>
        </w:rPr>
        <w:t>付款方式</w:t>
      </w:r>
    </w:p>
    <w:p w:rsidR="009D7103" w:rsidRPr="006B7B76" w:rsidRDefault="00116ABD" w:rsidP="000361F5">
      <w:pPr>
        <w:spacing w:line="360" w:lineRule="auto"/>
        <w:ind w:firstLineChars="200" w:firstLine="480"/>
        <w:rPr>
          <w:rFonts w:ascii="仿宋" w:eastAsia="仿宋" w:hAnsi="仿宋" w:cs="宋体"/>
          <w:sz w:val="24"/>
          <w:szCs w:val="24"/>
        </w:rPr>
      </w:pPr>
      <w:r w:rsidRPr="006B7B76">
        <w:rPr>
          <w:rFonts w:ascii="仿宋" w:eastAsia="仿宋" w:hAnsi="仿宋" w:cs="宋体" w:hint="eastAsia"/>
          <w:sz w:val="24"/>
          <w:szCs w:val="24"/>
        </w:rPr>
        <w:t>合同签订后，中标供应商根据采购人的样本进行检验，检验费用每月据实凭发票进行结算。</w:t>
      </w:r>
    </w:p>
    <w:sectPr w:rsidR="009D7103" w:rsidRPr="006B7B76" w:rsidSect="009D71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272" w:rsidRDefault="00091272" w:rsidP="00852DD8">
      <w:r>
        <w:separator/>
      </w:r>
    </w:p>
  </w:endnote>
  <w:endnote w:type="continuationSeparator" w:id="1">
    <w:p w:rsidR="00091272" w:rsidRDefault="00091272" w:rsidP="00852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272" w:rsidRDefault="00091272" w:rsidP="00852DD8">
      <w:r>
        <w:separator/>
      </w:r>
    </w:p>
  </w:footnote>
  <w:footnote w:type="continuationSeparator" w:id="1">
    <w:p w:rsidR="00091272" w:rsidRDefault="00091272" w:rsidP="00852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11E2"/>
    <w:multiLevelType w:val="singleLevel"/>
    <w:tmpl w:val="1D0A11E2"/>
    <w:lvl w:ilvl="0">
      <w:start w:val="2"/>
      <w:numFmt w:val="decimal"/>
      <w:suff w:val="nothing"/>
      <w:lvlText w:val="%1、"/>
      <w:lvlJc w:val="left"/>
    </w:lvl>
  </w:abstractNum>
  <w:abstractNum w:abstractNumId="1">
    <w:nsid w:val="26E97DBE"/>
    <w:multiLevelType w:val="multilevel"/>
    <w:tmpl w:val="DFC672F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VhY2UwZjM4ZmE2ODQ2Mzc1Mzc2NmQwOTY2MDEyNjYifQ=="/>
  </w:docVars>
  <w:rsids>
    <w:rsidRoot w:val="00BC5867"/>
    <w:rsid w:val="000361F5"/>
    <w:rsid w:val="00072FFD"/>
    <w:rsid w:val="00091272"/>
    <w:rsid w:val="000A7849"/>
    <w:rsid w:val="00116ABD"/>
    <w:rsid w:val="0018525B"/>
    <w:rsid w:val="001A00AE"/>
    <w:rsid w:val="002572AA"/>
    <w:rsid w:val="00263D98"/>
    <w:rsid w:val="00270676"/>
    <w:rsid w:val="002A5DBF"/>
    <w:rsid w:val="002B5C93"/>
    <w:rsid w:val="002D672C"/>
    <w:rsid w:val="003505FE"/>
    <w:rsid w:val="003A1481"/>
    <w:rsid w:val="003C4C12"/>
    <w:rsid w:val="003F0885"/>
    <w:rsid w:val="004442A4"/>
    <w:rsid w:val="004A13F7"/>
    <w:rsid w:val="005A5EC9"/>
    <w:rsid w:val="00620A72"/>
    <w:rsid w:val="00695DCF"/>
    <w:rsid w:val="006B7B76"/>
    <w:rsid w:val="006C3180"/>
    <w:rsid w:val="006D36FB"/>
    <w:rsid w:val="00714BA8"/>
    <w:rsid w:val="007233E1"/>
    <w:rsid w:val="007261D1"/>
    <w:rsid w:val="00795C26"/>
    <w:rsid w:val="008119C5"/>
    <w:rsid w:val="0082622F"/>
    <w:rsid w:val="00852DD8"/>
    <w:rsid w:val="00871FD5"/>
    <w:rsid w:val="00885151"/>
    <w:rsid w:val="0089799C"/>
    <w:rsid w:val="008E2779"/>
    <w:rsid w:val="0091030D"/>
    <w:rsid w:val="00910C16"/>
    <w:rsid w:val="00972BC2"/>
    <w:rsid w:val="00973553"/>
    <w:rsid w:val="009B2DEF"/>
    <w:rsid w:val="009D7103"/>
    <w:rsid w:val="00A97C7C"/>
    <w:rsid w:val="00B51679"/>
    <w:rsid w:val="00B719F7"/>
    <w:rsid w:val="00B87935"/>
    <w:rsid w:val="00BB3D42"/>
    <w:rsid w:val="00BC5867"/>
    <w:rsid w:val="00BE045B"/>
    <w:rsid w:val="00BF4738"/>
    <w:rsid w:val="00C17830"/>
    <w:rsid w:val="00CD6A8A"/>
    <w:rsid w:val="00D14736"/>
    <w:rsid w:val="00D16E0E"/>
    <w:rsid w:val="00D5553B"/>
    <w:rsid w:val="00D923D1"/>
    <w:rsid w:val="00E92060"/>
    <w:rsid w:val="00EE6DCA"/>
    <w:rsid w:val="0AE412C6"/>
    <w:rsid w:val="0D4E7383"/>
    <w:rsid w:val="14B673E8"/>
    <w:rsid w:val="15521709"/>
    <w:rsid w:val="19127CC9"/>
    <w:rsid w:val="2487194B"/>
    <w:rsid w:val="329C66B6"/>
    <w:rsid w:val="39061DEB"/>
    <w:rsid w:val="435B6124"/>
    <w:rsid w:val="48A8615D"/>
    <w:rsid w:val="5D74381A"/>
    <w:rsid w:val="72014D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03"/>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D7103"/>
    <w:pPr>
      <w:tabs>
        <w:tab w:val="center" w:pos="4153"/>
        <w:tab w:val="right" w:pos="8306"/>
      </w:tabs>
      <w:snapToGrid w:val="0"/>
    </w:pPr>
    <w:rPr>
      <w:sz w:val="18"/>
      <w:szCs w:val="18"/>
    </w:rPr>
  </w:style>
  <w:style w:type="paragraph" w:styleId="a4">
    <w:name w:val="header"/>
    <w:basedOn w:val="a"/>
    <w:link w:val="Char0"/>
    <w:uiPriority w:val="99"/>
    <w:unhideWhenUsed/>
    <w:rsid w:val="009D710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9D7103"/>
    <w:pPr>
      <w:spacing w:beforeAutospacing="1" w:afterAutospacing="1"/>
    </w:pPr>
    <w:rPr>
      <w:sz w:val="24"/>
    </w:rPr>
  </w:style>
  <w:style w:type="character" w:customStyle="1" w:styleId="Char1">
    <w:name w:val="列出段落 Char"/>
    <w:link w:val="a6"/>
    <w:qFormat/>
    <w:rsid w:val="009D7103"/>
    <w:rPr>
      <w:sz w:val="24"/>
      <w:szCs w:val="24"/>
    </w:rPr>
  </w:style>
  <w:style w:type="paragraph" w:styleId="a6">
    <w:name w:val="List Paragraph"/>
    <w:basedOn w:val="a"/>
    <w:link w:val="Char1"/>
    <w:uiPriority w:val="34"/>
    <w:qFormat/>
    <w:rsid w:val="009D7103"/>
    <w:pPr>
      <w:widowControl w:val="0"/>
      <w:spacing w:line="360" w:lineRule="auto"/>
      <w:ind w:firstLineChars="200" w:firstLine="420"/>
      <w:jc w:val="both"/>
    </w:pPr>
    <w:rPr>
      <w:rFonts w:asciiTheme="minorHAnsi" w:eastAsiaTheme="minorEastAsia" w:hAnsiTheme="minorHAnsi" w:cstheme="minorBidi"/>
      <w:kern w:val="2"/>
      <w:sz w:val="24"/>
      <w:szCs w:val="24"/>
    </w:rPr>
  </w:style>
  <w:style w:type="paragraph" w:styleId="a7">
    <w:name w:val="No Spacing"/>
    <w:qFormat/>
    <w:rsid w:val="009D7103"/>
    <w:pPr>
      <w:widowControl w:val="0"/>
      <w:jc w:val="both"/>
    </w:pPr>
    <w:rPr>
      <w:rFonts w:ascii="Calibri" w:hAnsi="Calibri"/>
      <w:kern w:val="2"/>
      <w:sz w:val="21"/>
      <w:szCs w:val="22"/>
    </w:rPr>
  </w:style>
  <w:style w:type="character" w:customStyle="1" w:styleId="Char0">
    <w:name w:val="页眉 Char"/>
    <w:basedOn w:val="a0"/>
    <w:link w:val="a4"/>
    <w:uiPriority w:val="99"/>
    <w:qFormat/>
    <w:rsid w:val="009D7103"/>
    <w:rPr>
      <w:rFonts w:ascii="Times New Roman" w:eastAsia="宋体" w:hAnsi="Times New Roman" w:cs="Times New Roman"/>
      <w:kern w:val="0"/>
      <w:sz w:val="18"/>
      <w:szCs w:val="18"/>
    </w:rPr>
  </w:style>
  <w:style w:type="character" w:customStyle="1" w:styleId="Char">
    <w:name w:val="页脚 Char"/>
    <w:basedOn w:val="a0"/>
    <w:link w:val="a3"/>
    <w:uiPriority w:val="99"/>
    <w:qFormat/>
    <w:rsid w:val="009D7103"/>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刘文通</dc:creator>
  <cp:lastModifiedBy>officer</cp:lastModifiedBy>
  <cp:revision>29</cp:revision>
  <dcterms:created xsi:type="dcterms:W3CDTF">2023-05-20T01:29:00Z</dcterms:created>
  <dcterms:modified xsi:type="dcterms:W3CDTF">2023-05-22T07:23:00Z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19202EAC5D064B6D8FFE1F2793E098BB</vt:lpwstr>
  </property>
</Properties>
</file>