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8E4EB0" w14:textId="77777777" w:rsidR="00792C9F" w:rsidRDefault="00000000">
      <w:pPr>
        <w:pStyle w:val="1"/>
        <w:autoSpaceDE/>
        <w:autoSpaceDN/>
        <w:spacing w:line="276" w:lineRule="auto"/>
        <w:rPr>
          <w:rFonts w:cs="宋体" w:hint="eastAsia"/>
          <w:color w:val="auto"/>
          <w:kern w:val="2"/>
        </w:rPr>
      </w:pPr>
      <w:r>
        <w:rPr>
          <w:rFonts w:cs="宋体" w:hint="eastAsia"/>
          <w:color w:val="auto"/>
          <w:kern w:val="2"/>
        </w:rPr>
        <w:t>移动</w:t>
      </w:r>
      <w:proofErr w:type="gramStart"/>
      <w:r>
        <w:rPr>
          <w:rFonts w:cs="宋体" w:hint="eastAsia"/>
          <w:color w:val="auto"/>
          <w:kern w:val="2"/>
        </w:rPr>
        <w:t>心电图机维保服务</w:t>
      </w:r>
      <w:proofErr w:type="gramEnd"/>
      <w:r>
        <w:rPr>
          <w:rFonts w:cs="宋体" w:hint="eastAsia"/>
          <w:color w:val="auto"/>
          <w:kern w:val="2"/>
        </w:rPr>
        <w:t>用户需求书</w:t>
      </w:r>
    </w:p>
    <w:p w14:paraId="1A6D879D" w14:textId="77777777" w:rsidR="00792C9F" w:rsidRDefault="00000000">
      <w:pPr>
        <w:pStyle w:val="2"/>
        <w:numPr>
          <w:ilvl w:val="0"/>
          <w:numId w:val="1"/>
        </w:numPr>
        <w:spacing w:line="276" w:lineRule="auto"/>
        <w:rPr>
          <w:rFonts w:ascii="宋体" w:eastAsia="宋体" w:hAnsi="宋体" w:cs="微软雅黑" w:hint="eastAsia"/>
          <w:color w:val="auto"/>
          <w:sz w:val="24"/>
          <w:szCs w:val="24"/>
        </w:rPr>
      </w:pPr>
      <w:bookmarkStart w:id="0" w:name="1、项目目标"/>
      <w:bookmarkEnd w:id="0"/>
      <w:r>
        <w:rPr>
          <w:rFonts w:ascii="宋体" w:eastAsia="宋体" w:hAnsi="宋体" w:cs="微软雅黑" w:hint="eastAsia"/>
          <w:color w:val="auto"/>
          <w:sz w:val="24"/>
          <w:szCs w:val="24"/>
        </w:rPr>
        <w:t>项目概况</w:t>
      </w:r>
    </w:p>
    <w:p w14:paraId="76F8450F" w14:textId="77777777" w:rsidR="00792C9F" w:rsidRDefault="00000000">
      <w:pPr>
        <w:autoSpaceDE/>
        <w:autoSpaceDN/>
        <w:spacing w:line="276" w:lineRule="auto"/>
        <w:ind w:firstLineChars="200" w:firstLine="480"/>
        <w:jc w:val="both"/>
        <w:rPr>
          <w:rFonts w:hint="eastAsia"/>
          <w:kern w:val="2"/>
          <w:sz w:val="24"/>
          <w:szCs w:val="24"/>
        </w:rPr>
      </w:pPr>
      <w:r>
        <w:rPr>
          <w:rFonts w:hint="eastAsia"/>
          <w:kern w:val="2"/>
          <w:sz w:val="24"/>
          <w:szCs w:val="24"/>
        </w:rPr>
        <w:t>为</w:t>
      </w:r>
      <w:proofErr w:type="gramStart"/>
      <w:r>
        <w:rPr>
          <w:rFonts w:hint="eastAsia"/>
          <w:kern w:val="2"/>
          <w:sz w:val="24"/>
          <w:szCs w:val="24"/>
        </w:rPr>
        <w:t>更好保障</w:t>
      </w:r>
      <w:proofErr w:type="gramEnd"/>
      <w:r>
        <w:rPr>
          <w:rFonts w:hint="eastAsia"/>
          <w:kern w:val="2"/>
          <w:sz w:val="24"/>
          <w:szCs w:val="24"/>
        </w:rPr>
        <w:t>医院临床诊疗工作的顺利开展，确保心电图机设备的持续稳定运行，需要对医院内使用的心电图机</w:t>
      </w:r>
      <w:proofErr w:type="gramStart"/>
      <w:r>
        <w:rPr>
          <w:rFonts w:hint="eastAsia"/>
          <w:kern w:val="2"/>
          <w:sz w:val="24"/>
          <w:szCs w:val="24"/>
        </w:rPr>
        <w:t>进行维保服务</w:t>
      </w:r>
      <w:proofErr w:type="gramEnd"/>
      <w:r>
        <w:rPr>
          <w:rFonts w:hint="eastAsia"/>
          <w:kern w:val="2"/>
          <w:sz w:val="24"/>
          <w:szCs w:val="24"/>
        </w:rPr>
        <w:t>。通过定期维护与专业技术支持，可有效预防设备故障、延长使用寿命，提升心电数据的采集精度与诊断效率，确保医务人员能够及时获取准确的心电图信息，为临床提供有力支持，有助于提升医院整体诊疗质量与患者就医体验</w:t>
      </w:r>
      <w:r>
        <w:rPr>
          <w:rFonts w:ascii="Segoe UI" w:eastAsia="Segoe UI" w:hAnsi="Segoe UI" w:cs="Segoe UI"/>
          <w:sz w:val="24"/>
          <w:szCs w:val="24"/>
          <w:shd w:val="clear" w:color="auto" w:fill="FFFFFF"/>
        </w:rPr>
        <w:t>。</w:t>
      </w:r>
    </w:p>
    <w:p w14:paraId="2D7E450A" w14:textId="77777777" w:rsidR="00792C9F" w:rsidRDefault="00000000">
      <w:pPr>
        <w:pStyle w:val="2"/>
        <w:numPr>
          <w:ilvl w:val="0"/>
          <w:numId w:val="1"/>
        </w:numPr>
        <w:spacing w:line="276" w:lineRule="auto"/>
        <w:rPr>
          <w:rFonts w:ascii="宋体" w:eastAsia="宋体" w:hAnsi="宋体" w:cs="宋体" w:hint="eastAsia"/>
          <w:color w:val="auto"/>
          <w:sz w:val="24"/>
          <w:szCs w:val="24"/>
        </w:rPr>
      </w:pPr>
      <w:bookmarkStart w:id="1" w:name="2、项目内容"/>
      <w:bookmarkEnd w:id="1"/>
      <w:r>
        <w:rPr>
          <w:rFonts w:ascii="宋体" w:eastAsia="宋体" w:hAnsi="宋体" w:cs="宋体" w:hint="eastAsia"/>
          <w:color w:val="auto"/>
          <w:sz w:val="24"/>
          <w:szCs w:val="24"/>
        </w:rPr>
        <w:t>需求清单</w:t>
      </w:r>
    </w:p>
    <w:p w14:paraId="602B5C62" w14:textId="77777777" w:rsidR="00792C9F" w:rsidRDefault="00000000">
      <w:pPr>
        <w:spacing w:after="6" w:line="276" w:lineRule="auto"/>
        <w:ind w:firstLine="522"/>
        <w:rPr>
          <w:rFonts w:hint="eastAsia"/>
          <w:sz w:val="24"/>
          <w:szCs w:val="24"/>
        </w:rPr>
      </w:pPr>
      <w:r>
        <w:rPr>
          <w:rFonts w:hint="eastAsia"/>
          <w:spacing w:val="-2"/>
          <w:sz w:val="24"/>
          <w:szCs w:val="24"/>
        </w:rPr>
        <w:t>本项目为</w:t>
      </w:r>
      <w:proofErr w:type="gramStart"/>
      <w:r>
        <w:rPr>
          <w:rFonts w:hint="eastAsia"/>
          <w:spacing w:val="-2"/>
          <w:sz w:val="24"/>
          <w:szCs w:val="24"/>
        </w:rPr>
        <w:t>心电图机维保服务</w:t>
      </w:r>
      <w:proofErr w:type="gramEnd"/>
      <w:r>
        <w:rPr>
          <w:rFonts w:hint="eastAsia"/>
          <w:spacing w:val="-2"/>
          <w:sz w:val="24"/>
          <w:szCs w:val="24"/>
        </w:rPr>
        <w:t>项目，由供应商负责为最终用户提供</w:t>
      </w:r>
      <w:r>
        <w:rPr>
          <w:rFonts w:hint="eastAsia"/>
          <w:sz w:val="24"/>
          <w:szCs w:val="24"/>
        </w:rPr>
        <w:t>心电信息管理系统</w:t>
      </w:r>
      <w:proofErr w:type="gramStart"/>
      <w:r>
        <w:rPr>
          <w:rFonts w:hint="eastAsia"/>
          <w:sz w:val="24"/>
          <w:szCs w:val="24"/>
        </w:rPr>
        <w:t>软硬件维保服务</w:t>
      </w:r>
      <w:proofErr w:type="gramEnd"/>
      <w:r>
        <w:rPr>
          <w:rFonts w:hint="eastAsia"/>
          <w:spacing w:val="-2"/>
          <w:sz w:val="24"/>
          <w:szCs w:val="24"/>
        </w:rPr>
        <w:t>，包括相关数据的查询、统计、检索等，详细的服务内容如下：</w:t>
      </w:r>
    </w:p>
    <w:tbl>
      <w:tblPr>
        <w:tblStyle w:val="TableNormal"/>
        <w:tblW w:w="83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3969"/>
        <w:gridCol w:w="1134"/>
        <w:gridCol w:w="1560"/>
      </w:tblGrid>
      <w:tr w:rsidR="00792C9F" w14:paraId="2229AA82" w14:textId="77777777" w:rsidTr="00772F9C">
        <w:trPr>
          <w:trHeight w:val="480"/>
          <w:jc w:val="center"/>
        </w:trPr>
        <w:tc>
          <w:tcPr>
            <w:tcW w:w="1696" w:type="dxa"/>
            <w:vAlign w:val="center"/>
          </w:tcPr>
          <w:p w14:paraId="7A840DF0" w14:textId="77777777" w:rsidR="00792C9F" w:rsidRDefault="00000000">
            <w:pPr>
              <w:pStyle w:val="TableParagraph"/>
              <w:spacing w:before="32" w:line="276" w:lineRule="auto"/>
              <w:ind w:left="296"/>
              <w:rPr>
                <w:rFonts w:hint="eastAsia"/>
                <w:b/>
                <w:sz w:val="24"/>
                <w:szCs w:val="24"/>
              </w:rPr>
            </w:pPr>
            <w:proofErr w:type="spellStart"/>
            <w:r>
              <w:rPr>
                <w:rFonts w:hint="eastAsia"/>
                <w:b/>
                <w:spacing w:val="-4"/>
                <w:sz w:val="24"/>
                <w:szCs w:val="24"/>
              </w:rPr>
              <w:t>项目名称</w:t>
            </w:r>
            <w:proofErr w:type="spellEnd"/>
          </w:p>
        </w:tc>
        <w:tc>
          <w:tcPr>
            <w:tcW w:w="3969" w:type="dxa"/>
            <w:vAlign w:val="center"/>
          </w:tcPr>
          <w:p w14:paraId="3717B76F" w14:textId="77777777" w:rsidR="00792C9F" w:rsidRDefault="00000000">
            <w:pPr>
              <w:pStyle w:val="TableParagraph"/>
              <w:spacing w:before="32" w:line="276" w:lineRule="auto"/>
              <w:ind w:left="7"/>
              <w:jc w:val="center"/>
              <w:rPr>
                <w:rFonts w:hint="eastAsia"/>
                <w:b/>
                <w:sz w:val="24"/>
                <w:szCs w:val="24"/>
              </w:rPr>
            </w:pPr>
            <w:proofErr w:type="spellStart"/>
            <w:r>
              <w:rPr>
                <w:rFonts w:hint="eastAsia"/>
                <w:b/>
                <w:spacing w:val="-4"/>
                <w:sz w:val="24"/>
                <w:szCs w:val="24"/>
              </w:rPr>
              <w:t>内容</w:t>
            </w:r>
            <w:proofErr w:type="spellEnd"/>
          </w:p>
        </w:tc>
        <w:tc>
          <w:tcPr>
            <w:tcW w:w="1134" w:type="dxa"/>
            <w:vAlign w:val="center"/>
          </w:tcPr>
          <w:p w14:paraId="23E4F1EC" w14:textId="77777777" w:rsidR="00792C9F" w:rsidRDefault="00000000">
            <w:pPr>
              <w:pStyle w:val="TableParagraph"/>
              <w:spacing w:before="32" w:line="276" w:lineRule="auto"/>
              <w:ind w:left="6" w:right="2"/>
              <w:jc w:val="center"/>
              <w:rPr>
                <w:rFonts w:hint="eastAsia"/>
                <w:b/>
                <w:sz w:val="24"/>
                <w:szCs w:val="24"/>
              </w:rPr>
            </w:pPr>
            <w:proofErr w:type="spellStart"/>
            <w:r>
              <w:rPr>
                <w:rFonts w:hint="eastAsia"/>
                <w:b/>
                <w:spacing w:val="-6"/>
                <w:sz w:val="24"/>
                <w:szCs w:val="24"/>
              </w:rPr>
              <w:t>数量</w:t>
            </w:r>
            <w:proofErr w:type="spellEnd"/>
          </w:p>
        </w:tc>
        <w:tc>
          <w:tcPr>
            <w:tcW w:w="1560" w:type="dxa"/>
            <w:vAlign w:val="center"/>
          </w:tcPr>
          <w:p w14:paraId="2121A0FC" w14:textId="77777777" w:rsidR="00792C9F" w:rsidRDefault="00000000">
            <w:pPr>
              <w:pStyle w:val="TableParagraph"/>
              <w:spacing w:before="32" w:line="276" w:lineRule="auto"/>
              <w:ind w:left="9"/>
              <w:jc w:val="center"/>
              <w:rPr>
                <w:rFonts w:hint="eastAsia"/>
                <w:b/>
                <w:sz w:val="24"/>
                <w:szCs w:val="24"/>
              </w:rPr>
            </w:pPr>
            <w:proofErr w:type="spellStart"/>
            <w:r>
              <w:rPr>
                <w:rFonts w:hint="eastAsia"/>
                <w:b/>
                <w:spacing w:val="-5"/>
                <w:sz w:val="24"/>
                <w:szCs w:val="24"/>
              </w:rPr>
              <w:t>服务期</w:t>
            </w:r>
            <w:proofErr w:type="spellEnd"/>
          </w:p>
        </w:tc>
      </w:tr>
      <w:tr w:rsidR="00792C9F" w14:paraId="3CB5213C" w14:textId="77777777" w:rsidTr="00772F9C">
        <w:trPr>
          <w:trHeight w:val="408"/>
          <w:jc w:val="center"/>
        </w:trPr>
        <w:tc>
          <w:tcPr>
            <w:tcW w:w="1696" w:type="dxa"/>
            <w:tcBorders>
              <w:top w:val="nil"/>
            </w:tcBorders>
            <w:vAlign w:val="center"/>
          </w:tcPr>
          <w:p w14:paraId="337EF13A" w14:textId="77777777" w:rsidR="00792C9F" w:rsidRDefault="00000000">
            <w:pPr>
              <w:spacing w:line="276" w:lineRule="auto"/>
              <w:rPr>
                <w:rFonts w:hint="eastAsia"/>
                <w:sz w:val="24"/>
                <w:szCs w:val="24"/>
                <w:lang w:eastAsia="zh-CN"/>
              </w:rPr>
            </w:pPr>
            <w:r>
              <w:rPr>
                <w:rFonts w:hint="eastAsia"/>
                <w:sz w:val="24"/>
                <w:szCs w:val="24"/>
                <w:lang w:eastAsia="zh-CN"/>
              </w:rPr>
              <w:t>移动</w:t>
            </w:r>
            <w:proofErr w:type="gramStart"/>
            <w:r>
              <w:rPr>
                <w:rFonts w:hint="eastAsia"/>
                <w:sz w:val="24"/>
                <w:szCs w:val="24"/>
                <w:lang w:eastAsia="zh-CN"/>
              </w:rPr>
              <w:t>心电图机维保服务</w:t>
            </w:r>
            <w:proofErr w:type="gramEnd"/>
          </w:p>
        </w:tc>
        <w:tc>
          <w:tcPr>
            <w:tcW w:w="3969" w:type="dxa"/>
            <w:vAlign w:val="center"/>
          </w:tcPr>
          <w:p w14:paraId="4622216B" w14:textId="77777777" w:rsidR="00792C9F" w:rsidRDefault="00000000" w:rsidP="009D7893">
            <w:pPr>
              <w:pStyle w:val="TableParagraph"/>
              <w:spacing w:line="276" w:lineRule="auto"/>
              <w:rPr>
                <w:rFonts w:hint="eastAsia"/>
                <w:sz w:val="24"/>
                <w:szCs w:val="24"/>
                <w:lang w:eastAsia="zh-CN"/>
              </w:rPr>
            </w:pPr>
            <w:r>
              <w:rPr>
                <w:rFonts w:hint="eastAsia"/>
                <w:sz w:val="24"/>
                <w:szCs w:val="24"/>
                <w:lang w:eastAsia="zh-CN"/>
              </w:rPr>
              <w:t>1、心电图机硬件及其附属品等</w:t>
            </w:r>
            <w:proofErr w:type="gramStart"/>
            <w:r>
              <w:rPr>
                <w:rFonts w:hint="eastAsia"/>
                <w:sz w:val="24"/>
                <w:szCs w:val="24"/>
                <w:lang w:eastAsia="zh-CN"/>
              </w:rPr>
              <w:t>硬件维保服务</w:t>
            </w:r>
            <w:proofErr w:type="gramEnd"/>
            <w:r>
              <w:rPr>
                <w:rFonts w:hint="eastAsia"/>
                <w:sz w:val="24"/>
                <w:szCs w:val="24"/>
                <w:lang w:eastAsia="zh-CN"/>
              </w:rPr>
              <w:t>（详见设备清单）</w:t>
            </w:r>
          </w:p>
          <w:p w14:paraId="27F91A29" w14:textId="5B5CD4B7" w:rsidR="00792C9F" w:rsidRDefault="00000000" w:rsidP="009D7893">
            <w:pPr>
              <w:pStyle w:val="TableParagraph"/>
              <w:spacing w:line="276" w:lineRule="auto"/>
              <w:rPr>
                <w:rFonts w:hint="eastAsia"/>
                <w:sz w:val="24"/>
                <w:szCs w:val="24"/>
                <w:lang w:eastAsia="zh-CN"/>
              </w:rPr>
            </w:pPr>
            <w:r>
              <w:rPr>
                <w:rFonts w:hint="eastAsia"/>
                <w:sz w:val="24"/>
                <w:szCs w:val="24"/>
                <w:lang w:eastAsia="zh-CN"/>
              </w:rPr>
              <w:t>2、心电图机上的心电信息管理系统的运维服务</w:t>
            </w:r>
          </w:p>
        </w:tc>
        <w:tc>
          <w:tcPr>
            <w:tcW w:w="1134" w:type="dxa"/>
            <w:vAlign w:val="center"/>
          </w:tcPr>
          <w:p w14:paraId="1A6D5370" w14:textId="77777777" w:rsidR="00792C9F" w:rsidRDefault="00000000">
            <w:pPr>
              <w:pStyle w:val="TableParagraph"/>
              <w:spacing w:line="276" w:lineRule="auto"/>
              <w:ind w:left="6"/>
              <w:jc w:val="center"/>
              <w:rPr>
                <w:rFonts w:hint="eastAsia"/>
                <w:sz w:val="24"/>
                <w:szCs w:val="24"/>
              </w:rPr>
            </w:pPr>
            <w:r>
              <w:rPr>
                <w:rFonts w:hint="eastAsia"/>
                <w:spacing w:val="-2"/>
                <w:sz w:val="24"/>
                <w:szCs w:val="24"/>
              </w:rPr>
              <w:t>1</w:t>
            </w:r>
            <w:r>
              <w:rPr>
                <w:rFonts w:hint="eastAsia"/>
                <w:spacing w:val="-32"/>
                <w:sz w:val="24"/>
                <w:szCs w:val="24"/>
              </w:rPr>
              <w:t xml:space="preserve"> 项</w:t>
            </w:r>
          </w:p>
        </w:tc>
        <w:tc>
          <w:tcPr>
            <w:tcW w:w="1560" w:type="dxa"/>
            <w:vAlign w:val="center"/>
          </w:tcPr>
          <w:p w14:paraId="6F26C088" w14:textId="67FA2A1E" w:rsidR="00792C9F" w:rsidRDefault="004F3808">
            <w:pPr>
              <w:pStyle w:val="TableParagraph"/>
              <w:spacing w:line="276" w:lineRule="auto"/>
              <w:ind w:left="9" w:right="2"/>
              <w:jc w:val="center"/>
              <w:rPr>
                <w:rFonts w:hint="eastAsia"/>
                <w:sz w:val="24"/>
                <w:szCs w:val="24"/>
              </w:rPr>
            </w:pPr>
            <w:r>
              <w:rPr>
                <w:rFonts w:hint="eastAsia"/>
                <w:spacing w:val="-8"/>
                <w:sz w:val="24"/>
                <w:szCs w:val="24"/>
                <w:lang w:eastAsia="zh-CN"/>
              </w:rPr>
              <w:t>两</w:t>
            </w:r>
            <w:r>
              <w:rPr>
                <w:rFonts w:hint="eastAsia"/>
                <w:spacing w:val="-8"/>
                <w:sz w:val="24"/>
                <w:szCs w:val="24"/>
              </w:rPr>
              <w:t>年</w:t>
            </w:r>
          </w:p>
        </w:tc>
      </w:tr>
    </w:tbl>
    <w:p w14:paraId="6367A9BC" w14:textId="2FEA1FB4" w:rsidR="00792C9F" w:rsidRDefault="00000000">
      <w:pPr>
        <w:pStyle w:val="a5"/>
        <w:spacing w:before="257" w:line="276" w:lineRule="auto"/>
        <w:rPr>
          <w:rStyle w:val="af4"/>
          <w:rFonts w:hint="eastAsia"/>
        </w:rPr>
      </w:pPr>
      <w:r>
        <w:t>设备清单</w:t>
      </w:r>
      <w:r>
        <w:rPr>
          <w:rFonts w:hint="eastAsia"/>
        </w:rPr>
        <w:t>：</w:t>
      </w:r>
    </w:p>
    <w:tbl>
      <w:tblPr>
        <w:tblW w:w="8263" w:type="dxa"/>
        <w:tblInd w:w="96" w:type="dxa"/>
        <w:tblLayout w:type="fixed"/>
        <w:tblLook w:val="04A0" w:firstRow="1" w:lastRow="0" w:firstColumn="1" w:lastColumn="0" w:noHBand="0" w:noVBand="1"/>
      </w:tblPr>
      <w:tblGrid>
        <w:gridCol w:w="3470"/>
        <w:gridCol w:w="2280"/>
        <w:gridCol w:w="2513"/>
      </w:tblGrid>
      <w:tr w:rsidR="00792C9F" w14:paraId="379EA5B3"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5BA4373F" w14:textId="77777777" w:rsidR="00792C9F" w:rsidRDefault="00000000">
            <w:pPr>
              <w:widowControl/>
              <w:spacing w:line="276" w:lineRule="auto"/>
              <w:jc w:val="center"/>
              <w:textAlignment w:val="center"/>
              <w:rPr>
                <w:rFonts w:hint="eastAsia"/>
                <w:color w:val="000000"/>
                <w:sz w:val="20"/>
                <w:szCs w:val="20"/>
              </w:rPr>
            </w:pPr>
            <w:r>
              <w:rPr>
                <w:rFonts w:hint="eastAsia"/>
                <w:color w:val="000000"/>
                <w:sz w:val="20"/>
                <w:szCs w:val="20"/>
                <w:lang w:bidi="ar"/>
              </w:rPr>
              <w:t>所属科室</w:t>
            </w:r>
          </w:p>
        </w:tc>
        <w:tc>
          <w:tcPr>
            <w:tcW w:w="2280"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6584E9F5" w14:textId="77777777" w:rsidR="00792C9F" w:rsidRDefault="00000000">
            <w:pPr>
              <w:widowControl/>
              <w:spacing w:line="276" w:lineRule="auto"/>
              <w:jc w:val="center"/>
              <w:textAlignment w:val="center"/>
              <w:rPr>
                <w:rFonts w:hint="eastAsia"/>
                <w:color w:val="000000"/>
                <w:sz w:val="20"/>
                <w:szCs w:val="20"/>
              </w:rPr>
            </w:pPr>
            <w:r>
              <w:rPr>
                <w:rFonts w:hint="eastAsia"/>
                <w:color w:val="000000"/>
                <w:sz w:val="20"/>
                <w:szCs w:val="20"/>
                <w:lang w:bidi="ar"/>
              </w:rPr>
              <w:t>设备型号</w:t>
            </w:r>
          </w:p>
        </w:tc>
        <w:tc>
          <w:tcPr>
            <w:tcW w:w="2513" w:type="dxa"/>
            <w:tcBorders>
              <w:top w:val="single" w:sz="4" w:space="0" w:color="000000"/>
              <w:left w:val="single" w:sz="4" w:space="0" w:color="000000"/>
              <w:bottom w:val="single" w:sz="4" w:space="0" w:color="000000"/>
              <w:right w:val="single" w:sz="4" w:space="0" w:color="000000"/>
            </w:tcBorders>
            <w:shd w:val="clear" w:color="auto" w:fill="C0C0C0"/>
            <w:noWrap/>
            <w:vAlign w:val="center"/>
          </w:tcPr>
          <w:p w14:paraId="7C8994A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资产编号</w:t>
            </w:r>
          </w:p>
        </w:tc>
      </w:tr>
      <w:tr w:rsidR="00792C9F" w14:paraId="508189BB"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25851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产科住院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BBEE5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8C1C6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201000000407</w:t>
            </w:r>
          </w:p>
        </w:tc>
      </w:tr>
      <w:tr w:rsidR="00792C9F" w14:paraId="305C3B12"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BAFA4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关节骨科住院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D30E5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5929A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201000000408</w:t>
            </w:r>
          </w:p>
        </w:tc>
      </w:tr>
      <w:tr w:rsidR="00792C9F" w14:paraId="4510F38F"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D17F5"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神经外科住院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074B8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D06327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201000000409</w:t>
            </w:r>
          </w:p>
        </w:tc>
      </w:tr>
      <w:tr w:rsidR="00792C9F" w14:paraId="43D8815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9B3AB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心血管内</w:t>
            </w:r>
            <w:proofErr w:type="gramStart"/>
            <w:r>
              <w:rPr>
                <w:rFonts w:ascii="Arial" w:hAnsi="Arial" w:cs="Arial"/>
                <w:color w:val="000000"/>
                <w:sz w:val="20"/>
                <w:szCs w:val="20"/>
                <w:lang w:bidi="ar"/>
              </w:rPr>
              <w:t>一</w:t>
            </w:r>
            <w:proofErr w:type="gramEnd"/>
            <w:r>
              <w:rPr>
                <w:rFonts w:ascii="Arial" w:hAnsi="Arial" w:cs="Arial"/>
                <w:color w:val="000000"/>
                <w:sz w:val="20"/>
                <w:szCs w:val="20"/>
                <w:lang w:bidi="ar"/>
              </w:rPr>
              <w:t>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DEBFEE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7B260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201000000410</w:t>
            </w:r>
          </w:p>
        </w:tc>
      </w:tr>
      <w:tr w:rsidR="00792C9F" w14:paraId="6DC7A9E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876D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内分泌科住院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E326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F302E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201000000411</w:t>
            </w:r>
          </w:p>
        </w:tc>
      </w:tr>
      <w:tr w:rsidR="00792C9F" w14:paraId="78E38691"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6214A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血液科住院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9237B4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62279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201000000412</w:t>
            </w:r>
          </w:p>
        </w:tc>
      </w:tr>
      <w:tr w:rsidR="00792C9F" w14:paraId="3E48B40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CC12B0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神经内科住院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98CAF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3DBFA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201000000413</w:t>
            </w:r>
          </w:p>
        </w:tc>
      </w:tr>
      <w:tr w:rsidR="00792C9F" w14:paraId="13D0C2C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F1767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神经内科住院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716F4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E487F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201000000414</w:t>
            </w:r>
          </w:p>
        </w:tc>
      </w:tr>
      <w:tr w:rsidR="00792C9F" w14:paraId="5A35F64C"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1DFF49"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肿瘤科二病区住院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5A37E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25AF9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201000000415</w:t>
            </w:r>
          </w:p>
        </w:tc>
      </w:tr>
      <w:tr w:rsidR="00792C9F" w14:paraId="0A8028EB"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605AB2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创伤骨科住院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12E39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6017F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201000000416</w:t>
            </w:r>
          </w:p>
        </w:tc>
      </w:tr>
      <w:tr w:rsidR="00792C9F" w14:paraId="663B39AD"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EA0E2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肾内科住院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C5395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A1DE3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201000000417</w:t>
            </w:r>
          </w:p>
        </w:tc>
      </w:tr>
      <w:tr w:rsidR="00792C9F" w14:paraId="19E7CF50"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704B1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心血管外科住院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ECFD90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9C583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201000000418</w:t>
            </w:r>
          </w:p>
        </w:tc>
      </w:tr>
      <w:tr w:rsidR="00792C9F" w14:paraId="1DEE3656"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C137A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肝胆胰</w:t>
            </w:r>
            <w:proofErr w:type="gramStart"/>
            <w:r>
              <w:rPr>
                <w:rFonts w:ascii="Arial" w:hAnsi="Arial" w:cs="Arial"/>
                <w:color w:val="000000"/>
                <w:sz w:val="20"/>
                <w:szCs w:val="20"/>
                <w:lang w:bidi="ar"/>
              </w:rPr>
              <w:t>疝</w:t>
            </w:r>
            <w:proofErr w:type="gramEnd"/>
            <w:r>
              <w:rPr>
                <w:rFonts w:ascii="Arial" w:hAnsi="Arial" w:cs="Arial"/>
                <w:color w:val="000000"/>
                <w:sz w:val="20"/>
                <w:szCs w:val="20"/>
                <w:lang w:bidi="ar"/>
              </w:rPr>
              <w:t>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8536C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9C7F7E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201000000419</w:t>
            </w:r>
          </w:p>
        </w:tc>
      </w:tr>
      <w:tr w:rsidR="00792C9F" w14:paraId="2806F4E5"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3ABB4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妇科住院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DF87D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3C4E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201000000420</w:t>
            </w:r>
          </w:p>
        </w:tc>
      </w:tr>
      <w:tr w:rsidR="00792C9F" w14:paraId="0E99856D"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7C044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重症医学科住院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926137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599269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201000000421</w:t>
            </w:r>
          </w:p>
        </w:tc>
      </w:tr>
      <w:tr w:rsidR="00792C9F" w14:paraId="7676CC30"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6AF4E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lastRenderedPageBreak/>
              <w:t>心胸外科住院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F6B48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948B9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201000000422</w:t>
            </w:r>
          </w:p>
        </w:tc>
      </w:tr>
      <w:tr w:rsidR="00792C9F" w14:paraId="38C74E55"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B46297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泌尿外科住院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795001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193A2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201000000423</w:t>
            </w:r>
          </w:p>
        </w:tc>
      </w:tr>
      <w:tr w:rsidR="00792C9F" w14:paraId="314EF7CD"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39AAC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血液净化中心</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5E3C6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FA1D20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201000000424</w:t>
            </w:r>
          </w:p>
        </w:tc>
      </w:tr>
      <w:tr w:rsidR="00792C9F" w14:paraId="5FE4EA94"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718CA9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儿科住院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CDDFD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3CE5D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201000000425</w:t>
            </w:r>
          </w:p>
        </w:tc>
      </w:tr>
      <w:tr w:rsidR="00792C9F" w14:paraId="6D37D6B3"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6445EF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胃肠外科住院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55DB9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AE0311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201000000426</w:t>
            </w:r>
          </w:p>
        </w:tc>
      </w:tr>
      <w:tr w:rsidR="00792C9F" w14:paraId="3047508F"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3B81EE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耳鼻喉头</w:t>
            </w:r>
            <w:proofErr w:type="gramStart"/>
            <w:r>
              <w:rPr>
                <w:rFonts w:ascii="Arial" w:hAnsi="Arial" w:cs="Arial"/>
                <w:color w:val="000000"/>
                <w:sz w:val="20"/>
                <w:szCs w:val="20"/>
                <w:lang w:bidi="ar"/>
              </w:rPr>
              <w:t>颈</w:t>
            </w:r>
            <w:proofErr w:type="gramEnd"/>
            <w:r>
              <w:rPr>
                <w:rFonts w:ascii="Arial" w:hAnsi="Arial" w:cs="Arial"/>
                <w:color w:val="000000"/>
                <w:sz w:val="20"/>
                <w:szCs w:val="20"/>
                <w:lang w:bidi="ar"/>
              </w:rPr>
              <w:t>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33BC2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C4C8A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201000000427</w:t>
            </w:r>
          </w:p>
        </w:tc>
      </w:tr>
      <w:tr w:rsidR="00792C9F" w14:paraId="04E0454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E3B492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呼吸与危重症医学科住院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B22C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A67AD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201000000428</w:t>
            </w:r>
          </w:p>
        </w:tc>
      </w:tr>
      <w:tr w:rsidR="00792C9F" w14:paraId="5803AD94"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C9899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风湿免疫科住院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A4688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AA498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201000000429</w:t>
            </w:r>
          </w:p>
        </w:tc>
      </w:tr>
      <w:tr w:rsidR="00792C9F" w14:paraId="719304CB"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22F4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感染（肝病）科住院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5A7D7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63DD9F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201000000430</w:t>
            </w:r>
          </w:p>
        </w:tc>
      </w:tr>
      <w:tr w:rsidR="00792C9F" w14:paraId="0A04A2C4"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118C3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肿瘤科</w:t>
            </w:r>
            <w:proofErr w:type="gramStart"/>
            <w:r>
              <w:rPr>
                <w:rFonts w:ascii="Arial" w:hAnsi="Arial" w:cs="Arial"/>
                <w:color w:val="000000"/>
                <w:sz w:val="20"/>
                <w:szCs w:val="20"/>
                <w:lang w:bidi="ar"/>
              </w:rPr>
              <w:t>一</w:t>
            </w:r>
            <w:proofErr w:type="gramEnd"/>
            <w:r>
              <w:rPr>
                <w:rFonts w:ascii="Arial" w:hAnsi="Arial" w:cs="Arial"/>
                <w:color w:val="000000"/>
                <w:sz w:val="20"/>
                <w:szCs w:val="20"/>
                <w:lang w:bidi="ar"/>
              </w:rPr>
              <w:t>病区住院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A7F2BF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32497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201000000431</w:t>
            </w:r>
          </w:p>
        </w:tc>
      </w:tr>
      <w:tr w:rsidR="00792C9F" w14:paraId="5EE5536E"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A6808E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消化内科住院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311D4B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7C324E9"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201000000432</w:t>
            </w:r>
          </w:p>
        </w:tc>
      </w:tr>
      <w:tr w:rsidR="00792C9F" w14:paraId="34C29E3D"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8A95B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心功能室</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AB960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MCA-23-16UP</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A26E6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201000000434</w:t>
            </w:r>
          </w:p>
        </w:tc>
      </w:tr>
      <w:tr w:rsidR="00792C9F" w14:paraId="0D240B9A"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8F3DE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健康管理（体检）科</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6E8E90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868CFC9"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201000000435</w:t>
            </w:r>
          </w:p>
        </w:tc>
      </w:tr>
      <w:tr w:rsidR="00792C9F" w14:paraId="609CE4DA"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FAAD0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全科医学科住院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990EE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27508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201000000667</w:t>
            </w:r>
          </w:p>
        </w:tc>
      </w:tr>
      <w:tr w:rsidR="00792C9F" w14:paraId="3A018D2A"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14A7B65"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全科医学科住院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F8D2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A3B3F4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201000000668</w:t>
            </w:r>
          </w:p>
        </w:tc>
      </w:tr>
      <w:tr w:rsidR="00792C9F" w14:paraId="09B9D1C7"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47613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心血管内二科住院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669CE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33BD4E5"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201000000669</w:t>
            </w:r>
          </w:p>
        </w:tc>
      </w:tr>
      <w:tr w:rsidR="00792C9F" w14:paraId="5B61B510"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0A5988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心血管内三科</w:t>
            </w:r>
            <w:r>
              <w:rPr>
                <w:rFonts w:ascii="Arial" w:hAnsi="Arial" w:cs="Arial"/>
                <w:color w:val="000000"/>
                <w:sz w:val="20"/>
                <w:szCs w:val="20"/>
                <w:lang w:bidi="ar"/>
              </w:rPr>
              <w:t>(</w:t>
            </w:r>
            <w:r>
              <w:rPr>
                <w:rFonts w:ascii="Arial" w:hAnsi="Arial" w:cs="Arial"/>
                <w:color w:val="000000"/>
                <w:sz w:val="20"/>
                <w:szCs w:val="20"/>
                <w:lang w:bidi="ar"/>
              </w:rPr>
              <w:t>起搏与电生理）住院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0336E0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559BE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201000000670</w:t>
            </w:r>
          </w:p>
        </w:tc>
      </w:tr>
      <w:tr w:rsidR="00792C9F" w14:paraId="3E2EF82F"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49167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脊柱骨科住院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36BB8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ABAEE5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201000000671</w:t>
            </w:r>
          </w:p>
        </w:tc>
      </w:tr>
      <w:tr w:rsidR="00792C9F" w14:paraId="22ACA5E7"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00177C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心理精神科住院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72A8F49"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318909"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201000000672</w:t>
            </w:r>
          </w:p>
        </w:tc>
      </w:tr>
      <w:tr w:rsidR="00792C9F" w14:paraId="41C16F15"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CA6CA5"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生殖医学中心住院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0AE3A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047F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201000000673</w:t>
            </w:r>
          </w:p>
        </w:tc>
      </w:tr>
      <w:tr w:rsidR="00792C9F" w14:paraId="0E2E3377"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521312" w14:textId="77777777" w:rsidR="00792C9F" w:rsidRDefault="00000000">
            <w:pPr>
              <w:widowControl/>
              <w:spacing w:line="276" w:lineRule="auto"/>
              <w:jc w:val="center"/>
              <w:textAlignment w:val="center"/>
              <w:rPr>
                <w:rFonts w:ascii="Arial" w:hAnsi="Arial" w:cs="Arial"/>
                <w:color w:val="000000"/>
                <w:sz w:val="20"/>
                <w:szCs w:val="20"/>
              </w:rPr>
            </w:pPr>
            <w:proofErr w:type="gramStart"/>
            <w:r>
              <w:rPr>
                <w:rFonts w:ascii="Arial" w:hAnsi="Arial" w:cs="Arial"/>
                <w:color w:val="000000"/>
                <w:sz w:val="20"/>
                <w:szCs w:val="20"/>
                <w:lang w:bidi="ar"/>
              </w:rPr>
              <w:t>导管室</w:t>
            </w:r>
            <w:proofErr w:type="gramEnd"/>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6181FE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9E8BC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201000000674</w:t>
            </w:r>
          </w:p>
        </w:tc>
      </w:tr>
      <w:tr w:rsidR="00792C9F" w14:paraId="2FF1DBB5"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CF5CF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内</w:t>
            </w:r>
            <w:proofErr w:type="gramStart"/>
            <w:r>
              <w:rPr>
                <w:rFonts w:ascii="Arial" w:hAnsi="Arial" w:cs="Arial"/>
                <w:color w:val="000000"/>
                <w:sz w:val="20"/>
                <w:szCs w:val="20"/>
                <w:lang w:bidi="ar"/>
              </w:rPr>
              <w:t>一</w:t>
            </w:r>
            <w:proofErr w:type="gramEnd"/>
            <w:r>
              <w:rPr>
                <w:rFonts w:ascii="Arial" w:hAnsi="Arial" w:cs="Arial"/>
                <w:color w:val="000000"/>
                <w:sz w:val="20"/>
                <w:szCs w:val="20"/>
                <w:lang w:bidi="ar"/>
              </w:rPr>
              <w:t>科住院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EAE7D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D0AA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201000000992</w:t>
            </w:r>
          </w:p>
        </w:tc>
      </w:tr>
      <w:tr w:rsidR="00792C9F" w14:paraId="4574CAC3"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A5C9D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内二科住院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F2C185"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4600975"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201000000993</w:t>
            </w:r>
          </w:p>
        </w:tc>
      </w:tr>
      <w:tr w:rsidR="00792C9F" w14:paraId="373BF643"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AAEF8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神经外科住院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7E4CC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DD26E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201000000994</w:t>
            </w:r>
          </w:p>
        </w:tc>
      </w:tr>
      <w:tr w:rsidR="00792C9F" w14:paraId="376F967E"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A06E6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康复医学（科、组）住院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8D44FC1"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DBB9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201000000995</w:t>
            </w:r>
          </w:p>
        </w:tc>
      </w:tr>
      <w:tr w:rsidR="00792C9F" w14:paraId="0D225D0A"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A08E6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普外科住院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CA8E04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F80B3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201000000996</w:t>
            </w:r>
          </w:p>
        </w:tc>
      </w:tr>
      <w:tr w:rsidR="00792C9F" w14:paraId="30945FBE"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E07D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妇科住院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D8D6F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953F36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201000000997</w:t>
            </w:r>
          </w:p>
        </w:tc>
      </w:tr>
      <w:tr w:rsidR="00792C9F" w14:paraId="0818957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6A0DC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发热门诊</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2B72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51CDD0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201000000998</w:t>
            </w:r>
          </w:p>
        </w:tc>
      </w:tr>
      <w:tr w:rsidR="00792C9F" w14:paraId="2ED9522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1FF89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心功能室</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83BCF9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MCA-23-16UP</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5B1FC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201000001375</w:t>
            </w:r>
          </w:p>
        </w:tc>
      </w:tr>
      <w:tr w:rsidR="00792C9F" w14:paraId="3BD4F87B"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4E188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疼痛科住院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3EF2A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CD3C70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201000001376</w:t>
            </w:r>
          </w:p>
        </w:tc>
      </w:tr>
      <w:tr w:rsidR="00792C9F" w14:paraId="2F47F3CF"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D2639F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眼科住院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9DB8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3E89190"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201000001377</w:t>
            </w:r>
          </w:p>
        </w:tc>
      </w:tr>
      <w:tr w:rsidR="00792C9F" w14:paraId="1210E432"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4E904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整形美容科住院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C6A82D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5A9BA9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201000001378</w:t>
            </w:r>
          </w:p>
        </w:tc>
      </w:tr>
      <w:tr w:rsidR="00792C9F" w14:paraId="45872860"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C6852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关节骨科二科</w:t>
            </w:r>
            <w:r>
              <w:rPr>
                <w:rFonts w:ascii="Arial" w:hAnsi="Arial" w:cs="Arial"/>
                <w:color w:val="000000"/>
                <w:sz w:val="20"/>
                <w:szCs w:val="20"/>
                <w:lang w:bidi="ar"/>
              </w:rPr>
              <w:t>-</w:t>
            </w:r>
            <w:r>
              <w:rPr>
                <w:rFonts w:ascii="Arial" w:hAnsi="Arial" w:cs="Arial"/>
                <w:color w:val="000000"/>
                <w:sz w:val="20"/>
                <w:szCs w:val="20"/>
                <w:lang w:bidi="ar"/>
              </w:rPr>
              <w:t>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B47FAC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C3B828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201000001483</w:t>
            </w:r>
          </w:p>
        </w:tc>
      </w:tr>
      <w:tr w:rsidR="00792C9F" w14:paraId="64AE8FF0"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98BAC7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胸壁外科研究所住院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100F79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AEFEA8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201000001487</w:t>
            </w:r>
          </w:p>
        </w:tc>
      </w:tr>
      <w:tr w:rsidR="00792C9F" w14:paraId="2125A31E"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21CAA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手术麻醉科</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15BA1E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59B781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316000003697</w:t>
            </w:r>
          </w:p>
        </w:tc>
      </w:tr>
      <w:tr w:rsidR="00792C9F" w14:paraId="0B654302"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14688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产科住院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2795ED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80CC9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316000004129</w:t>
            </w:r>
          </w:p>
        </w:tc>
      </w:tr>
      <w:tr w:rsidR="00792C9F" w14:paraId="0D56B648"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B048DB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急诊科住院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3813F0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7FE91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316000004130</w:t>
            </w:r>
          </w:p>
        </w:tc>
      </w:tr>
      <w:tr w:rsidR="00792C9F" w14:paraId="29BF7554"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C6F03F" w14:textId="77777777" w:rsidR="00792C9F" w:rsidRDefault="00000000">
            <w:pPr>
              <w:widowControl/>
              <w:spacing w:line="276" w:lineRule="auto"/>
              <w:jc w:val="center"/>
              <w:textAlignment w:val="center"/>
              <w:rPr>
                <w:rFonts w:hint="eastAsia"/>
                <w:color w:val="000000"/>
                <w:sz w:val="20"/>
                <w:szCs w:val="20"/>
              </w:rPr>
            </w:pPr>
            <w:r>
              <w:rPr>
                <w:rFonts w:hint="eastAsia"/>
                <w:color w:val="000000"/>
                <w:sz w:val="20"/>
                <w:szCs w:val="20"/>
                <w:lang w:bidi="ar"/>
              </w:rPr>
              <w:lastRenderedPageBreak/>
              <w:t>信息科（备用机）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D1FF48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6105B7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316000005696</w:t>
            </w:r>
          </w:p>
        </w:tc>
      </w:tr>
      <w:tr w:rsidR="00792C9F" w14:paraId="50DBEF1D"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73D08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信息科（备用机）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1AD53F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CC6381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316000005697</w:t>
            </w:r>
          </w:p>
        </w:tc>
      </w:tr>
      <w:tr w:rsidR="00792C9F" w14:paraId="78BD5030"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3BF5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泌尿外科住院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B227E4"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EF952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316000005698</w:t>
            </w:r>
          </w:p>
        </w:tc>
      </w:tr>
      <w:tr w:rsidR="00792C9F" w14:paraId="103D455A"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1B1E1F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儿科住院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B21B315"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2BECF0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316000005699</w:t>
            </w:r>
          </w:p>
        </w:tc>
      </w:tr>
      <w:tr w:rsidR="00792C9F" w14:paraId="05BCFAAD"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74D8F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全科医学科住院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B3ECCC"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26D8C93"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316000005700</w:t>
            </w:r>
          </w:p>
        </w:tc>
      </w:tr>
      <w:tr w:rsidR="00792C9F" w14:paraId="34D29FC4"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FE9104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骨科住院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0078CBB"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2E1A7BE"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316000008158</w:t>
            </w:r>
          </w:p>
        </w:tc>
      </w:tr>
      <w:tr w:rsidR="00792C9F" w14:paraId="63D6A784"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58491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肿瘤微创综合治疗中心住院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9FB64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8B694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316000008159</w:t>
            </w:r>
          </w:p>
        </w:tc>
      </w:tr>
      <w:tr w:rsidR="00792C9F" w14:paraId="115DF083"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401E33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内</w:t>
            </w:r>
            <w:proofErr w:type="gramStart"/>
            <w:r>
              <w:rPr>
                <w:rFonts w:ascii="Arial" w:hAnsi="Arial" w:cs="Arial"/>
                <w:color w:val="000000"/>
                <w:sz w:val="20"/>
                <w:szCs w:val="20"/>
                <w:lang w:bidi="ar"/>
              </w:rPr>
              <w:t>一</w:t>
            </w:r>
            <w:proofErr w:type="gramEnd"/>
            <w:r>
              <w:rPr>
                <w:rFonts w:ascii="Arial" w:hAnsi="Arial" w:cs="Arial"/>
                <w:color w:val="000000"/>
                <w:sz w:val="20"/>
                <w:szCs w:val="20"/>
                <w:lang w:bidi="ar"/>
              </w:rPr>
              <w:t>科住院</w:t>
            </w:r>
            <w:r>
              <w:rPr>
                <w:rFonts w:ascii="Arial" w:hAnsi="Arial" w:cs="Arial"/>
                <w:color w:val="000000"/>
                <w:sz w:val="20"/>
                <w:szCs w:val="20"/>
                <w:lang w:bidi="ar"/>
              </w:rPr>
              <w:t>-</w:t>
            </w:r>
            <w:r>
              <w:rPr>
                <w:rFonts w:ascii="Arial" w:hAnsi="Arial" w:cs="Arial"/>
                <w:color w:val="000000"/>
                <w:sz w:val="20"/>
                <w:szCs w:val="20"/>
                <w:lang w:bidi="ar"/>
              </w:rPr>
              <w:t>民航院区</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0BC19A"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C3393C6"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316000008160</w:t>
            </w:r>
          </w:p>
        </w:tc>
      </w:tr>
      <w:tr w:rsidR="00792C9F" w14:paraId="131B2B81"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CAE539"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急诊科住院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16CCC48"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35FF2F9"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316000009756</w:t>
            </w:r>
          </w:p>
        </w:tc>
      </w:tr>
      <w:tr w:rsidR="00792C9F" w14:paraId="2905D74C"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264CF7D"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急诊科住院</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60A9912"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MECG-300</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3239CF"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316000009757</w:t>
            </w:r>
          </w:p>
        </w:tc>
      </w:tr>
      <w:tr w:rsidR="00792C9F" w14:paraId="21F346F9" w14:textId="77777777" w:rsidTr="009D7893">
        <w:trPr>
          <w:trHeight w:val="264"/>
        </w:trPr>
        <w:tc>
          <w:tcPr>
            <w:tcW w:w="347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FE7E464" w14:textId="77777777" w:rsidR="00792C9F" w:rsidRDefault="00000000">
            <w:pPr>
              <w:widowControl/>
              <w:spacing w:line="276" w:lineRule="auto"/>
              <w:jc w:val="center"/>
              <w:textAlignment w:val="center"/>
              <w:rPr>
                <w:rFonts w:hint="eastAsia"/>
                <w:color w:val="000000"/>
                <w:sz w:val="20"/>
                <w:szCs w:val="20"/>
              </w:rPr>
            </w:pPr>
            <w:r>
              <w:rPr>
                <w:rFonts w:hint="eastAsia"/>
                <w:color w:val="000000"/>
                <w:sz w:val="20"/>
                <w:szCs w:val="20"/>
                <w:lang w:bidi="ar"/>
              </w:rPr>
              <w:t>合计</w:t>
            </w:r>
          </w:p>
        </w:tc>
        <w:tc>
          <w:tcPr>
            <w:tcW w:w="228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4374B97" w14:textId="77777777" w:rsidR="00792C9F" w:rsidRDefault="00000000">
            <w:pPr>
              <w:widowControl/>
              <w:spacing w:line="276" w:lineRule="auto"/>
              <w:jc w:val="center"/>
              <w:textAlignment w:val="center"/>
              <w:rPr>
                <w:rFonts w:ascii="Arial" w:hAnsi="Arial" w:cs="Arial"/>
                <w:color w:val="000000"/>
                <w:sz w:val="20"/>
                <w:szCs w:val="20"/>
              </w:rPr>
            </w:pPr>
            <w:r>
              <w:rPr>
                <w:rFonts w:ascii="Arial" w:hAnsi="Arial" w:cs="Arial"/>
                <w:color w:val="000000"/>
                <w:sz w:val="20"/>
                <w:szCs w:val="20"/>
                <w:lang w:bidi="ar"/>
              </w:rPr>
              <w:t>62</w:t>
            </w:r>
            <w:r>
              <w:rPr>
                <w:rStyle w:val="font11"/>
                <w:rFonts w:hint="default"/>
                <w:lang w:bidi="ar"/>
              </w:rPr>
              <w:t>台</w:t>
            </w:r>
          </w:p>
        </w:tc>
        <w:tc>
          <w:tcPr>
            <w:tcW w:w="25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EB0B841" w14:textId="77777777" w:rsidR="00792C9F" w:rsidRDefault="00792C9F">
            <w:pPr>
              <w:spacing w:line="276" w:lineRule="auto"/>
              <w:jc w:val="center"/>
              <w:rPr>
                <w:rFonts w:ascii="Arial" w:hAnsi="Arial" w:cs="Arial"/>
                <w:color w:val="000000"/>
                <w:sz w:val="20"/>
                <w:szCs w:val="20"/>
              </w:rPr>
            </w:pPr>
          </w:p>
        </w:tc>
      </w:tr>
    </w:tbl>
    <w:p w14:paraId="31E5CAA6" w14:textId="43CEF723" w:rsidR="00792C9F" w:rsidRDefault="00000000">
      <w:pPr>
        <w:pStyle w:val="2"/>
        <w:numPr>
          <w:ilvl w:val="0"/>
          <w:numId w:val="1"/>
        </w:numPr>
        <w:spacing w:line="276" w:lineRule="auto"/>
        <w:rPr>
          <w:rFonts w:ascii="宋体" w:eastAsia="宋体" w:hAnsi="宋体" w:cs="微软雅黑" w:hint="eastAsia"/>
          <w:color w:val="auto"/>
          <w:sz w:val="24"/>
          <w:szCs w:val="24"/>
        </w:rPr>
      </w:pPr>
      <w:bookmarkStart w:id="2" w:name="3.__临床医学数据库要求"/>
      <w:bookmarkStart w:id="3" w:name="_Toc480449084"/>
      <w:bookmarkEnd w:id="2"/>
      <w:r>
        <w:rPr>
          <w:rFonts w:ascii="宋体" w:eastAsia="宋体" w:hAnsi="宋体" w:cs="微软雅黑" w:hint="eastAsia"/>
          <w:color w:val="auto"/>
          <w:sz w:val="24"/>
          <w:szCs w:val="24"/>
        </w:rPr>
        <w:t>服务要求</w:t>
      </w:r>
    </w:p>
    <w:bookmarkEnd w:id="3"/>
    <w:p w14:paraId="579C066A" w14:textId="5B577A39" w:rsidR="00792C9F" w:rsidRDefault="00000000">
      <w:pPr>
        <w:pStyle w:val="af7"/>
        <w:adjustRightInd w:val="0"/>
        <w:snapToGrid w:val="0"/>
        <w:spacing w:line="276" w:lineRule="auto"/>
        <w:ind w:left="0"/>
        <w:rPr>
          <w:rFonts w:hint="eastAsia"/>
          <w:b/>
          <w:sz w:val="24"/>
          <w:szCs w:val="24"/>
        </w:rPr>
      </w:pPr>
      <w:r>
        <w:rPr>
          <w:rFonts w:hint="eastAsia"/>
          <w:sz w:val="24"/>
          <w:szCs w:val="24"/>
        </w:rPr>
        <w:t>服务</w:t>
      </w:r>
      <w:r>
        <w:rPr>
          <w:rFonts w:hint="eastAsia"/>
          <w:bCs/>
          <w:sz w:val="24"/>
          <w:szCs w:val="24"/>
        </w:rPr>
        <w:t>要求:</w:t>
      </w:r>
    </w:p>
    <w:tbl>
      <w:tblPr>
        <w:tblStyle w:val="af3"/>
        <w:tblW w:w="8500" w:type="dxa"/>
        <w:jc w:val="center"/>
        <w:tblLook w:val="04A0" w:firstRow="1" w:lastRow="0" w:firstColumn="1" w:lastColumn="0" w:noHBand="0" w:noVBand="1"/>
      </w:tblPr>
      <w:tblGrid>
        <w:gridCol w:w="817"/>
        <w:gridCol w:w="7683"/>
      </w:tblGrid>
      <w:tr w:rsidR="00792C9F" w14:paraId="3442D586" w14:textId="77777777">
        <w:trPr>
          <w:trHeight w:val="433"/>
          <w:jc w:val="center"/>
        </w:trPr>
        <w:tc>
          <w:tcPr>
            <w:tcW w:w="817" w:type="dxa"/>
            <w:vAlign w:val="center"/>
          </w:tcPr>
          <w:p w14:paraId="17AEEE9F" w14:textId="77777777" w:rsidR="00792C9F" w:rsidRDefault="00000000">
            <w:pPr>
              <w:adjustRightInd w:val="0"/>
              <w:snapToGrid w:val="0"/>
              <w:spacing w:line="276" w:lineRule="auto"/>
              <w:jc w:val="center"/>
              <w:rPr>
                <w:rFonts w:hint="eastAsia"/>
                <w:b/>
                <w:sz w:val="24"/>
                <w:szCs w:val="24"/>
              </w:rPr>
            </w:pPr>
            <w:r>
              <w:rPr>
                <w:rFonts w:hint="eastAsia"/>
                <w:b/>
                <w:bCs/>
                <w:sz w:val="24"/>
                <w:szCs w:val="24"/>
              </w:rPr>
              <w:t>序号</w:t>
            </w:r>
          </w:p>
        </w:tc>
        <w:tc>
          <w:tcPr>
            <w:tcW w:w="7683" w:type="dxa"/>
            <w:vAlign w:val="center"/>
          </w:tcPr>
          <w:p w14:paraId="2D0502A2" w14:textId="45F8C2E9" w:rsidR="00792C9F" w:rsidRDefault="00000000">
            <w:pPr>
              <w:adjustRightInd w:val="0"/>
              <w:snapToGrid w:val="0"/>
              <w:spacing w:line="276" w:lineRule="auto"/>
              <w:jc w:val="center"/>
              <w:rPr>
                <w:rFonts w:hint="eastAsia"/>
                <w:b/>
                <w:sz w:val="24"/>
                <w:szCs w:val="24"/>
              </w:rPr>
            </w:pPr>
            <w:r>
              <w:rPr>
                <w:rFonts w:hint="eastAsia"/>
                <w:b/>
                <w:bCs/>
                <w:sz w:val="24"/>
                <w:szCs w:val="24"/>
              </w:rPr>
              <w:t>服务要求</w:t>
            </w:r>
          </w:p>
        </w:tc>
      </w:tr>
      <w:tr w:rsidR="00792C9F" w14:paraId="3EA72B12" w14:textId="77777777">
        <w:trPr>
          <w:trHeight w:val="575"/>
          <w:jc w:val="center"/>
        </w:trPr>
        <w:tc>
          <w:tcPr>
            <w:tcW w:w="817" w:type="dxa"/>
            <w:vAlign w:val="center"/>
          </w:tcPr>
          <w:p w14:paraId="030632E6" w14:textId="77777777" w:rsidR="00792C9F" w:rsidRDefault="00000000">
            <w:pPr>
              <w:adjustRightInd w:val="0"/>
              <w:snapToGrid w:val="0"/>
              <w:spacing w:line="276" w:lineRule="auto"/>
              <w:jc w:val="center"/>
              <w:rPr>
                <w:rFonts w:hint="eastAsia"/>
                <w:b/>
                <w:sz w:val="24"/>
                <w:szCs w:val="24"/>
              </w:rPr>
            </w:pPr>
            <w:r>
              <w:rPr>
                <w:rFonts w:hint="eastAsia"/>
                <w:b/>
                <w:sz w:val="24"/>
                <w:szCs w:val="24"/>
              </w:rPr>
              <w:t>1</w:t>
            </w:r>
          </w:p>
        </w:tc>
        <w:tc>
          <w:tcPr>
            <w:tcW w:w="7683" w:type="dxa"/>
            <w:vAlign w:val="center"/>
          </w:tcPr>
          <w:p w14:paraId="1FDB6465" w14:textId="66B77CC1" w:rsidR="00792C9F" w:rsidRDefault="00000000">
            <w:pPr>
              <w:widowControl/>
              <w:jc w:val="left"/>
              <w:textAlignment w:val="center"/>
              <w:rPr>
                <w:rFonts w:hint="eastAsia"/>
                <w:b/>
                <w:sz w:val="24"/>
                <w:szCs w:val="24"/>
              </w:rPr>
            </w:pPr>
            <w:r>
              <w:rPr>
                <w:rFonts w:hint="eastAsia"/>
                <w:color w:val="000000"/>
                <w:lang w:bidi="ar"/>
              </w:rPr>
              <w:t>供应商负责医院心电信息管理系统软硬件的日常维护、系统使用培训指导及需求分析提交。</w:t>
            </w:r>
          </w:p>
        </w:tc>
      </w:tr>
      <w:tr w:rsidR="00792C9F" w14:paraId="53D8654E" w14:textId="77777777">
        <w:trPr>
          <w:jc w:val="center"/>
        </w:trPr>
        <w:tc>
          <w:tcPr>
            <w:tcW w:w="817" w:type="dxa"/>
            <w:vAlign w:val="center"/>
          </w:tcPr>
          <w:p w14:paraId="2E2C1ABF" w14:textId="77777777" w:rsidR="00792C9F" w:rsidRDefault="00000000">
            <w:pPr>
              <w:adjustRightInd w:val="0"/>
              <w:snapToGrid w:val="0"/>
              <w:spacing w:line="276" w:lineRule="auto"/>
              <w:jc w:val="center"/>
              <w:rPr>
                <w:rFonts w:hint="eastAsia"/>
                <w:b/>
                <w:sz w:val="24"/>
                <w:szCs w:val="24"/>
              </w:rPr>
            </w:pPr>
            <w:r>
              <w:rPr>
                <w:rFonts w:hint="eastAsia"/>
                <w:b/>
                <w:sz w:val="24"/>
                <w:szCs w:val="24"/>
              </w:rPr>
              <w:t>2</w:t>
            </w:r>
          </w:p>
        </w:tc>
        <w:tc>
          <w:tcPr>
            <w:tcW w:w="7683" w:type="dxa"/>
            <w:vAlign w:val="center"/>
          </w:tcPr>
          <w:p w14:paraId="6D0AD69E" w14:textId="7049B7F5" w:rsidR="00792C9F" w:rsidRDefault="00000000">
            <w:pPr>
              <w:widowControl/>
              <w:jc w:val="left"/>
              <w:textAlignment w:val="center"/>
              <w:rPr>
                <w:rFonts w:hint="eastAsia"/>
                <w:sz w:val="24"/>
                <w:szCs w:val="24"/>
              </w:rPr>
            </w:pPr>
            <w:r>
              <w:rPr>
                <w:rFonts w:hint="eastAsia"/>
                <w:color w:val="000000"/>
                <w:lang w:bidi="ar"/>
              </w:rPr>
              <w:t>供应商应主动承担系统各模块的优化、完善及资源整合工作，持续提升系统稳定性及使用效率。</w:t>
            </w:r>
          </w:p>
        </w:tc>
      </w:tr>
      <w:tr w:rsidR="00792C9F" w14:paraId="4EA1BE77" w14:textId="77777777" w:rsidTr="009D7893">
        <w:trPr>
          <w:trHeight w:val="438"/>
          <w:jc w:val="center"/>
        </w:trPr>
        <w:tc>
          <w:tcPr>
            <w:tcW w:w="817" w:type="dxa"/>
            <w:vAlign w:val="center"/>
          </w:tcPr>
          <w:p w14:paraId="2FB34F8F" w14:textId="77777777" w:rsidR="00792C9F" w:rsidRDefault="00000000">
            <w:pPr>
              <w:adjustRightInd w:val="0"/>
              <w:snapToGrid w:val="0"/>
              <w:spacing w:line="276" w:lineRule="auto"/>
              <w:jc w:val="center"/>
              <w:rPr>
                <w:rFonts w:hint="eastAsia"/>
                <w:b/>
                <w:sz w:val="24"/>
                <w:szCs w:val="24"/>
              </w:rPr>
            </w:pPr>
            <w:r>
              <w:rPr>
                <w:rFonts w:hint="eastAsia"/>
                <w:b/>
                <w:sz w:val="24"/>
                <w:szCs w:val="24"/>
              </w:rPr>
              <w:t>3</w:t>
            </w:r>
          </w:p>
        </w:tc>
        <w:tc>
          <w:tcPr>
            <w:tcW w:w="7683" w:type="dxa"/>
            <w:vAlign w:val="center"/>
          </w:tcPr>
          <w:p w14:paraId="0CFFDBD9" w14:textId="2F690B58" w:rsidR="00792C9F" w:rsidRDefault="00000000">
            <w:pPr>
              <w:widowControl/>
              <w:jc w:val="left"/>
              <w:textAlignment w:val="center"/>
              <w:rPr>
                <w:rFonts w:hint="eastAsia"/>
                <w:sz w:val="24"/>
                <w:szCs w:val="24"/>
              </w:rPr>
            </w:pPr>
            <w:r>
              <w:rPr>
                <w:rFonts w:hint="eastAsia"/>
                <w:color w:val="000000"/>
                <w:lang w:bidi="ar"/>
              </w:rPr>
              <w:t>供应商须每季度安排资深工程师进行现场巡查，详细检查系统软硬件运行情况，巡查结束后，由各科室签字确认，并提交巡查报告给医院信息科备案。</w:t>
            </w:r>
          </w:p>
        </w:tc>
      </w:tr>
      <w:tr w:rsidR="00792C9F" w14:paraId="37FBE038" w14:textId="77777777">
        <w:trPr>
          <w:trHeight w:val="816"/>
          <w:jc w:val="center"/>
        </w:trPr>
        <w:tc>
          <w:tcPr>
            <w:tcW w:w="817" w:type="dxa"/>
            <w:vAlign w:val="center"/>
          </w:tcPr>
          <w:p w14:paraId="2E14C2A2" w14:textId="77777777" w:rsidR="00792C9F" w:rsidRDefault="00000000">
            <w:pPr>
              <w:adjustRightInd w:val="0"/>
              <w:snapToGrid w:val="0"/>
              <w:spacing w:line="276" w:lineRule="auto"/>
              <w:jc w:val="center"/>
              <w:rPr>
                <w:rFonts w:hint="eastAsia"/>
                <w:b/>
                <w:sz w:val="24"/>
                <w:szCs w:val="24"/>
              </w:rPr>
            </w:pPr>
            <w:r>
              <w:rPr>
                <w:rFonts w:hint="eastAsia"/>
                <w:b/>
                <w:sz w:val="24"/>
                <w:szCs w:val="24"/>
              </w:rPr>
              <w:t>4</w:t>
            </w:r>
          </w:p>
        </w:tc>
        <w:tc>
          <w:tcPr>
            <w:tcW w:w="7683" w:type="dxa"/>
            <w:vAlign w:val="center"/>
          </w:tcPr>
          <w:p w14:paraId="6D7B8DCD" w14:textId="5E823755" w:rsidR="00792C9F" w:rsidRDefault="00000000">
            <w:pPr>
              <w:widowControl/>
              <w:jc w:val="left"/>
              <w:textAlignment w:val="center"/>
              <w:rPr>
                <w:rFonts w:hint="eastAsia"/>
                <w:sz w:val="24"/>
                <w:lang w:bidi="ar"/>
              </w:rPr>
            </w:pPr>
            <w:r>
              <w:rPr>
                <w:rFonts w:hint="eastAsia"/>
                <w:color w:val="000000"/>
                <w:lang w:bidi="ar"/>
              </w:rPr>
              <w:t>供应商需严格按照操作维护规程对心电信息管理系统进行预防性日常检查，尽可能提前发现和消除潜在故障，确保系统的最大可用率。</w:t>
            </w:r>
          </w:p>
        </w:tc>
      </w:tr>
      <w:tr w:rsidR="00792C9F" w14:paraId="6C96F083" w14:textId="77777777">
        <w:trPr>
          <w:trHeight w:val="816"/>
          <w:jc w:val="center"/>
        </w:trPr>
        <w:tc>
          <w:tcPr>
            <w:tcW w:w="817" w:type="dxa"/>
            <w:vAlign w:val="center"/>
          </w:tcPr>
          <w:p w14:paraId="54D589CD" w14:textId="77777777" w:rsidR="00792C9F" w:rsidRDefault="00000000">
            <w:pPr>
              <w:adjustRightInd w:val="0"/>
              <w:snapToGrid w:val="0"/>
              <w:spacing w:line="276" w:lineRule="auto"/>
              <w:jc w:val="center"/>
              <w:rPr>
                <w:rFonts w:hint="eastAsia"/>
                <w:b/>
                <w:sz w:val="24"/>
                <w:szCs w:val="24"/>
              </w:rPr>
            </w:pPr>
            <w:r>
              <w:rPr>
                <w:rFonts w:hint="eastAsia"/>
                <w:b/>
                <w:sz w:val="24"/>
                <w:szCs w:val="24"/>
              </w:rPr>
              <w:t>5</w:t>
            </w:r>
          </w:p>
        </w:tc>
        <w:tc>
          <w:tcPr>
            <w:tcW w:w="7683" w:type="dxa"/>
            <w:vAlign w:val="center"/>
          </w:tcPr>
          <w:p w14:paraId="1F1465ED" w14:textId="52D24E92" w:rsidR="00792C9F" w:rsidRDefault="00000000">
            <w:pPr>
              <w:widowControl/>
              <w:jc w:val="left"/>
              <w:textAlignment w:val="center"/>
              <w:rPr>
                <w:rFonts w:hint="eastAsia"/>
                <w:sz w:val="24"/>
                <w:lang w:bidi="ar"/>
              </w:rPr>
            </w:pPr>
            <w:r>
              <w:rPr>
                <w:rFonts w:hint="eastAsia"/>
                <w:color w:val="000000"/>
                <w:lang w:bidi="ar"/>
              </w:rPr>
              <w:t>供应商须严格执行故障处理流程，当现场发生故障时，</w:t>
            </w:r>
            <w:proofErr w:type="gramStart"/>
            <w:r>
              <w:rPr>
                <w:rFonts w:hint="eastAsia"/>
                <w:color w:val="000000"/>
                <w:lang w:bidi="ar"/>
              </w:rPr>
              <w:t>应第一时间</w:t>
            </w:r>
            <w:proofErr w:type="gramEnd"/>
            <w:r>
              <w:rPr>
                <w:rFonts w:hint="eastAsia"/>
                <w:color w:val="000000"/>
                <w:lang w:bidi="ar"/>
              </w:rPr>
              <w:t>响应，快速判断问题性质，并立即制定切实可行的解决方案，以最短时间内恢复系统运行。</w:t>
            </w:r>
          </w:p>
        </w:tc>
      </w:tr>
      <w:tr w:rsidR="00792C9F" w14:paraId="4D94D40A" w14:textId="77777777">
        <w:trPr>
          <w:trHeight w:val="816"/>
          <w:jc w:val="center"/>
        </w:trPr>
        <w:tc>
          <w:tcPr>
            <w:tcW w:w="817" w:type="dxa"/>
            <w:vAlign w:val="center"/>
          </w:tcPr>
          <w:p w14:paraId="7595D35D" w14:textId="77777777" w:rsidR="00792C9F" w:rsidRDefault="00000000">
            <w:pPr>
              <w:adjustRightInd w:val="0"/>
              <w:snapToGrid w:val="0"/>
              <w:spacing w:line="276" w:lineRule="auto"/>
              <w:jc w:val="center"/>
              <w:rPr>
                <w:rFonts w:hint="eastAsia"/>
                <w:b/>
                <w:sz w:val="24"/>
                <w:szCs w:val="24"/>
              </w:rPr>
            </w:pPr>
            <w:r>
              <w:rPr>
                <w:rFonts w:hint="eastAsia"/>
                <w:b/>
                <w:sz w:val="24"/>
                <w:szCs w:val="24"/>
              </w:rPr>
              <w:t>6</w:t>
            </w:r>
          </w:p>
        </w:tc>
        <w:tc>
          <w:tcPr>
            <w:tcW w:w="7683" w:type="dxa"/>
            <w:vAlign w:val="center"/>
          </w:tcPr>
          <w:p w14:paraId="0FDA87B5" w14:textId="1DB27BAB" w:rsidR="00792C9F" w:rsidRDefault="00000000">
            <w:pPr>
              <w:widowControl/>
              <w:jc w:val="left"/>
              <w:textAlignment w:val="center"/>
              <w:rPr>
                <w:rFonts w:hint="eastAsia"/>
                <w:sz w:val="24"/>
                <w:lang w:bidi="ar"/>
              </w:rPr>
            </w:pPr>
            <w:r>
              <w:rPr>
                <w:rFonts w:hint="eastAsia"/>
                <w:color w:val="000000"/>
                <w:lang w:bidi="ar"/>
              </w:rPr>
              <w:t>所有系统故障的检测、恢复及现场测试均由供应商负责。如遇特殊情况</w:t>
            </w:r>
            <w:proofErr w:type="gramStart"/>
            <w:r>
              <w:rPr>
                <w:rFonts w:hint="eastAsia"/>
                <w:color w:val="000000"/>
                <w:lang w:bidi="ar"/>
              </w:rPr>
              <w:t>需信息</w:t>
            </w:r>
            <w:proofErr w:type="gramEnd"/>
            <w:r>
              <w:rPr>
                <w:rFonts w:hint="eastAsia"/>
                <w:color w:val="000000"/>
                <w:lang w:bidi="ar"/>
              </w:rPr>
              <w:t>科协助时，应立即提交申请，明确所需支持。</w:t>
            </w:r>
          </w:p>
        </w:tc>
      </w:tr>
      <w:tr w:rsidR="00792C9F" w14:paraId="55CA0F2D" w14:textId="77777777">
        <w:trPr>
          <w:trHeight w:val="816"/>
          <w:jc w:val="center"/>
        </w:trPr>
        <w:tc>
          <w:tcPr>
            <w:tcW w:w="817" w:type="dxa"/>
            <w:vAlign w:val="center"/>
          </w:tcPr>
          <w:p w14:paraId="619760B1" w14:textId="77777777" w:rsidR="00792C9F" w:rsidRDefault="00000000">
            <w:pPr>
              <w:adjustRightInd w:val="0"/>
              <w:snapToGrid w:val="0"/>
              <w:spacing w:line="276" w:lineRule="auto"/>
              <w:jc w:val="center"/>
              <w:rPr>
                <w:rFonts w:hint="eastAsia"/>
                <w:b/>
                <w:sz w:val="24"/>
                <w:szCs w:val="24"/>
              </w:rPr>
            </w:pPr>
            <w:r>
              <w:rPr>
                <w:rFonts w:hint="eastAsia"/>
                <w:b/>
                <w:sz w:val="24"/>
                <w:szCs w:val="24"/>
              </w:rPr>
              <w:t>7</w:t>
            </w:r>
          </w:p>
        </w:tc>
        <w:tc>
          <w:tcPr>
            <w:tcW w:w="7683" w:type="dxa"/>
            <w:vAlign w:val="center"/>
          </w:tcPr>
          <w:p w14:paraId="07655712" w14:textId="633F0D62" w:rsidR="00792C9F" w:rsidRDefault="00000000">
            <w:pPr>
              <w:widowControl/>
              <w:jc w:val="left"/>
              <w:textAlignment w:val="center"/>
              <w:rPr>
                <w:rFonts w:hint="eastAsia"/>
                <w:sz w:val="24"/>
                <w:lang w:bidi="ar"/>
              </w:rPr>
            </w:pPr>
            <w:r>
              <w:rPr>
                <w:rFonts w:hint="eastAsia"/>
                <w:color w:val="000000"/>
                <w:lang w:bidi="ar"/>
              </w:rPr>
              <w:t>系统工程师在进行远程操作维护时，应提前联系信息科工程师并获得许可后方可实施，保障维护工作顺利高效进行。</w:t>
            </w:r>
          </w:p>
        </w:tc>
      </w:tr>
      <w:tr w:rsidR="00792C9F" w14:paraId="498D9700" w14:textId="77777777">
        <w:trPr>
          <w:trHeight w:val="816"/>
          <w:jc w:val="center"/>
        </w:trPr>
        <w:tc>
          <w:tcPr>
            <w:tcW w:w="817" w:type="dxa"/>
            <w:vAlign w:val="center"/>
          </w:tcPr>
          <w:p w14:paraId="43B50FAF" w14:textId="77777777" w:rsidR="00792C9F" w:rsidRDefault="00000000">
            <w:pPr>
              <w:adjustRightInd w:val="0"/>
              <w:snapToGrid w:val="0"/>
              <w:spacing w:line="276" w:lineRule="auto"/>
              <w:jc w:val="center"/>
              <w:rPr>
                <w:rFonts w:hint="eastAsia"/>
                <w:b/>
                <w:sz w:val="24"/>
                <w:szCs w:val="24"/>
              </w:rPr>
            </w:pPr>
            <w:r>
              <w:rPr>
                <w:rFonts w:hint="eastAsia"/>
                <w:b/>
                <w:sz w:val="24"/>
                <w:szCs w:val="24"/>
              </w:rPr>
              <w:t>8</w:t>
            </w:r>
          </w:p>
        </w:tc>
        <w:tc>
          <w:tcPr>
            <w:tcW w:w="7683" w:type="dxa"/>
            <w:vAlign w:val="center"/>
          </w:tcPr>
          <w:p w14:paraId="14277A5A" w14:textId="04F166A3" w:rsidR="00792C9F" w:rsidRDefault="00000000">
            <w:pPr>
              <w:widowControl/>
              <w:jc w:val="left"/>
              <w:textAlignment w:val="center"/>
              <w:rPr>
                <w:rFonts w:hint="eastAsia"/>
                <w:sz w:val="24"/>
                <w:lang w:bidi="ar"/>
              </w:rPr>
            </w:pPr>
            <w:r>
              <w:rPr>
                <w:rFonts w:hint="eastAsia"/>
                <w:color w:val="000000"/>
                <w:lang w:bidi="ar"/>
              </w:rPr>
              <w:t>发生故障后，当用户电话咨询无法自行排除问题时，供应商应在接报后2小时内安排经验丰富的工程师通过电话支持或现场服务，利用专业工具及设备快速诊断问题根源，及时提出高效且可行的解决方案。</w:t>
            </w:r>
          </w:p>
        </w:tc>
      </w:tr>
      <w:tr w:rsidR="00792C9F" w14:paraId="42C63ED4" w14:textId="77777777">
        <w:trPr>
          <w:trHeight w:val="816"/>
          <w:jc w:val="center"/>
        </w:trPr>
        <w:tc>
          <w:tcPr>
            <w:tcW w:w="817" w:type="dxa"/>
            <w:vAlign w:val="center"/>
          </w:tcPr>
          <w:p w14:paraId="57E6BFB4" w14:textId="77777777" w:rsidR="00792C9F" w:rsidRDefault="00000000">
            <w:pPr>
              <w:adjustRightInd w:val="0"/>
              <w:snapToGrid w:val="0"/>
              <w:spacing w:line="276" w:lineRule="auto"/>
              <w:jc w:val="center"/>
              <w:rPr>
                <w:rFonts w:hint="eastAsia"/>
                <w:b/>
                <w:sz w:val="24"/>
                <w:szCs w:val="24"/>
              </w:rPr>
            </w:pPr>
            <w:r>
              <w:rPr>
                <w:rFonts w:hint="eastAsia"/>
                <w:b/>
                <w:sz w:val="24"/>
                <w:szCs w:val="24"/>
              </w:rPr>
              <w:t>9</w:t>
            </w:r>
          </w:p>
        </w:tc>
        <w:tc>
          <w:tcPr>
            <w:tcW w:w="7683" w:type="dxa"/>
            <w:vAlign w:val="center"/>
          </w:tcPr>
          <w:p w14:paraId="4A553B06" w14:textId="3BFB1C42" w:rsidR="00792C9F" w:rsidRDefault="00000000">
            <w:pPr>
              <w:widowControl/>
              <w:jc w:val="left"/>
              <w:textAlignment w:val="center"/>
              <w:rPr>
                <w:rFonts w:hint="eastAsia"/>
                <w:sz w:val="24"/>
                <w:lang w:bidi="ar"/>
              </w:rPr>
            </w:pPr>
            <w:r>
              <w:rPr>
                <w:rFonts w:hint="eastAsia"/>
                <w:color w:val="000000"/>
                <w:lang w:bidi="ar"/>
              </w:rPr>
              <w:t>维保期内，对于非人为因素及非不可抗力造成的硬件问题，供应商应免费维修或更换。若有备件，应在2天内完成更换和安装工作；严重影响业务的软件问题须立即响应并加急处理，其他非紧急问题应在7天内予以处理。</w:t>
            </w:r>
          </w:p>
        </w:tc>
      </w:tr>
      <w:tr w:rsidR="00792C9F" w14:paraId="2DCD297C" w14:textId="77777777">
        <w:trPr>
          <w:trHeight w:val="816"/>
          <w:jc w:val="center"/>
        </w:trPr>
        <w:tc>
          <w:tcPr>
            <w:tcW w:w="817" w:type="dxa"/>
            <w:vAlign w:val="center"/>
          </w:tcPr>
          <w:p w14:paraId="4A652933" w14:textId="77777777" w:rsidR="00792C9F" w:rsidRDefault="00000000">
            <w:pPr>
              <w:adjustRightInd w:val="0"/>
              <w:snapToGrid w:val="0"/>
              <w:spacing w:line="276" w:lineRule="auto"/>
              <w:jc w:val="center"/>
              <w:rPr>
                <w:rFonts w:hint="eastAsia"/>
                <w:b/>
                <w:sz w:val="24"/>
                <w:szCs w:val="24"/>
              </w:rPr>
            </w:pPr>
            <w:r>
              <w:rPr>
                <w:rFonts w:hint="eastAsia"/>
                <w:b/>
                <w:sz w:val="24"/>
                <w:szCs w:val="24"/>
              </w:rPr>
              <w:lastRenderedPageBreak/>
              <w:t>10</w:t>
            </w:r>
          </w:p>
        </w:tc>
        <w:tc>
          <w:tcPr>
            <w:tcW w:w="7683" w:type="dxa"/>
            <w:vAlign w:val="center"/>
          </w:tcPr>
          <w:p w14:paraId="25EA6FBB" w14:textId="2B77EDCA" w:rsidR="00792C9F" w:rsidRDefault="00000000">
            <w:pPr>
              <w:widowControl/>
              <w:jc w:val="left"/>
              <w:textAlignment w:val="center"/>
              <w:rPr>
                <w:rFonts w:hint="eastAsia"/>
                <w:sz w:val="24"/>
                <w:lang w:bidi="ar"/>
              </w:rPr>
            </w:pPr>
            <w:r>
              <w:rPr>
                <w:rFonts w:hint="eastAsia"/>
                <w:color w:val="000000"/>
                <w:lang w:bidi="ar"/>
              </w:rPr>
              <w:t>供应商应长期提供维修所需的零部件，确保维修过程中所需配件在接到通知后7天内送达使用部门。如设备维修周期超过一周，必须主动提供备用设备供科室正常开展工作，直至原设备修复完毕。</w:t>
            </w:r>
          </w:p>
        </w:tc>
      </w:tr>
      <w:tr w:rsidR="00792C9F" w14:paraId="13151054" w14:textId="77777777">
        <w:trPr>
          <w:trHeight w:val="816"/>
          <w:jc w:val="center"/>
        </w:trPr>
        <w:tc>
          <w:tcPr>
            <w:tcW w:w="817" w:type="dxa"/>
            <w:vAlign w:val="center"/>
          </w:tcPr>
          <w:p w14:paraId="32BD37A4" w14:textId="77777777" w:rsidR="00792C9F" w:rsidRDefault="00000000">
            <w:pPr>
              <w:adjustRightInd w:val="0"/>
              <w:snapToGrid w:val="0"/>
              <w:spacing w:line="276" w:lineRule="auto"/>
              <w:jc w:val="center"/>
              <w:rPr>
                <w:rFonts w:hint="eastAsia"/>
                <w:b/>
                <w:sz w:val="24"/>
                <w:szCs w:val="24"/>
              </w:rPr>
            </w:pPr>
            <w:r>
              <w:rPr>
                <w:rFonts w:hint="eastAsia"/>
                <w:b/>
                <w:sz w:val="24"/>
                <w:szCs w:val="24"/>
              </w:rPr>
              <w:t>11</w:t>
            </w:r>
          </w:p>
        </w:tc>
        <w:tc>
          <w:tcPr>
            <w:tcW w:w="7683" w:type="dxa"/>
            <w:vAlign w:val="center"/>
          </w:tcPr>
          <w:p w14:paraId="200C4DE5" w14:textId="32EA21BF" w:rsidR="00792C9F" w:rsidRDefault="00000000">
            <w:pPr>
              <w:widowControl/>
              <w:jc w:val="left"/>
              <w:textAlignment w:val="center"/>
              <w:rPr>
                <w:rFonts w:hint="eastAsia"/>
                <w:sz w:val="24"/>
                <w:lang w:bidi="ar"/>
              </w:rPr>
            </w:pPr>
            <w:r>
              <w:rPr>
                <w:rFonts w:hint="eastAsia"/>
                <w:color w:val="000000"/>
                <w:lang w:bidi="ar"/>
              </w:rPr>
              <w:t>维保期内，硬件设备（包括平板、放大器、吸球、夹子、导联线、台车等）应优先维修，若无法修复，应立即提供相应的新设备进行更换。</w:t>
            </w:r>
          </w:p>
        </w:tc>
      </w:tr>
      <w:tr w:rsidR="00792C9F" w14:paraId="68EECA6D" w14:textId="77777777">
        <w:trPr>
          <w:trHeight w:val="816"/>
          <w:jc w:val="center"/>
        </w:trPr>
        <w:tc>
          <w:tcPr>
            <w:tcW w:w="817" w:type="dxa"/>
            <w:vAlign w:val="center"/>
          </w:tcPr>
          <w:p w14:paraId="2A201A98" w14:textId="77777777" w:rsidR="00792C9F" w:rsidRDefault="00000000">
            <w:pPr>
              <w:adjustRightInd w:val="0"/>
              <w:snapToGrid w:val="0"/>
              <w:spacing w:line="276" w:lineRule="auto"/>
              <w:jc w:val="center"/>
              <w:rPr>
                <w:rFonts w:hint="eastAsia"/>
                <w:b/>
                <w:sz w:val="24"/>
                <w:szCs w:val="24"/>
              </w:rPr>
            </w:pPr>
            <w:r>
              <w:rPr>
                <w:rFonts w:hint="eastAsia"/>
                <w:b/>
                <w:sz w:val="24"/>
                <w:szCs w:val="24"/>
              </w:rPr>
              <w:t>12</w:t>
            </w:r>
          </w:p>
        </w:tc>
        <w:tc>
          <w:tcPr>
            <w:tcW w:w="7683" w:type="dxa"/>
            <w:vAlign w:val="center"/>
          </w:tcPr>
          <w:p w14:paraId="2CA8F5EA" w14:textId="7639DFE1" w:rsidR="00792C9F" w:rsidRDefault="00000000">
            <w:pPr>
              <w:widowControl/>
              <w:jc w:val="left"/>
              <w:textAlignment w:val="center"/>
              <w:rPr>
                <w:rFonts w:hint="eastAsia"/>
                <w:sz w:val="24"/>
                <w:lang w:bidi="ar"/>
              </w:rPr>
            </w:pPr>
            <w:r>
              <w:rPr>
                <w:rFonts w:hint="eastAsia"/>
                <w:color w:val="000000"/>
                <w:lang w:bidi="ar"/>
              </w:rPr>
              <w:t>为方便系统维护，供应商应免费提供详尽的软件说明书、使用手册、操作手册、系统维护手册等技术文档，并在系统验收后提供所有设备的完整文档资料。</w:t>
            </w:r>
          </w:p>
        </w:tc>
      </w:tr>
      <w:tr w:rsidR="00792C9F" w14:paraId="5C00A467" w14:textId="77777777">
        <w:trPr>
          <w:trHeight w:val="816"/>
          <w:jc w:val="center"/>
        </w:trPr>
        <w:tc>
          <w:tcPr>
            <w:tcW w:w="817" w:type="dxa"/>
            <w:vAlign w:val="center"/>
          </w:tcPr>
          <w:p w14:paraId="2BD8AF2F" w14:textId="77777777" w:rsidR="00792C9F" w:rsidRDefault="00000000">
            <w:pPr>
              <w:adjustRightInd w:val="0"/>
              <w:snapToGrid w:val="0"/>
              <w:spacing w:line="276" w:lineRule="auto"/>
              <w:jc w:val="center"/>
              <w:rPr>
                <w:rFonts w:hint="eastAsia"/>
                <w:b/>
                <w:sz w:val="24"/>
                <w:szCs w:val="24"/>
              </w:rPr>
            </w:pPr>
            <w:r>
              <w:rPr>
                <w:rFonts w:hint="eastAsia"/>
                <w:b/>
                <w:sz w:val="24"/>
                <w:szCs w:val="24"/>
              </w:rPr>
              <w:t>13</w:t>
            </w:r>
          </w:p>
        </w:tc>
        <w:tc>
          <w:tcPr>
            <w:tcW w:w="7683" w:type="dxa"/>
            <w:vAlign w:val="center"/>
          </w:tcPr>
          <w:p w14:paraId="32C57405" w14:textId="254EC189" w:rsidR="00792C9F" w:rsidRDefault="00000000">
            <w:pPr>
              <w:widowControl/>
              <w:jc w:val="left"/>
              <w:textAlignment w:val="center"/>
              <w:rPr>
                <w:rFonts w:hint="eastAsia"/>
                <w:sz w:val="24"/>
                <w:lang w:bidi="ar"/>
              </w:rPr>
            </w:pPr>
            <w:r>
              <w:rPr>
                <w:rFonts w:hint="eastAsia"/>
                <w:color w:val="000000"/>
                <w:lang w:bidi="ar"/>
              </w:rPr>
              <w:t>供应商应每季度进行一次巡检及用户回访，主动了解设备运行情况，调查服务质量，听取用户反馈意见，现场解决实际应用问题，提供针对性的服务支持，并记录回访情况，由信息科签字确认。</w:t>
            </w:r>
          </w:p>
        </w:tc>
      </w:tr>
      <w:tr w:rsidR="00792C9F" w14:paraId="105E9B8D" w14:textId="77777777">
        <w:trPr>
          <w:trHeight w:val="816"/>
          <w:jc w:val="center"/>
        </w:trPr>
        <w:tc>
          <w:tcPr>
            <w:tcW w:w="817" w:type="dxa"/>
            <w:vAlign w:val="center"/>
          </w:tcPr>
          <w:p w14:paraId="1FAFF34A" w14:textId="77777777" w:rsidR="00792C9F" w:rsidRDefault="00000000">
            <w:pPr>
              <w:adjustRightInd w:val="0"/>
              <w:snapToGrid w:val="0"/>
              <w:spacing w:line="276" w:lineRule="auto"/>
              <w:jc w:val="center"/>
              <w:rPr>
                <w:rFonts w:hint="eastAsia"/>
                <w:b/>
                <w:sz w:val="24"/>
                <w:szCs w:val="24"/>
              </w:rPr>
            </w:pPr>
            <w:r>
              <w:rPr>
                <w:rFonts w:hint="eastAsia"/>
                <w:b/>
                <w:sz w:val="24"/>
                <w:szCs w:val="24"/>
              </w:rPr>
              <w:t>14</w:t>
            </w:r>
          </w:p>
        </w:tc>
        <w:tc>
          <w:tcPr>
            <w:tcW w:w="7683" w:type="dxa"/>
            <w:vAlign w:val="center"/>
          </w:tcPr>
          <w:p w14:paraId="3C1518A1" w14:textId="596375EA" w:rsidR="00792C9F" w:rsidRDefault="00000000">
            <w:pPr>
              <w:widowControl/>
              <w:jc w:val="left"/>
              <w:textAlignment w:val="center"/>
              <w:rPr>
                <w:rFonts w:hint="eastAsia"/>
                <w:sz w:val="24"/>
                <w:lang w:bidi="ar"/>
              </w:rPr>
            </w:pPr>
            <w:r>
              <w:rPr>
                <w:rFonts w:hint="eastAsia"/>
                <w:color w:val="000000"/>
                <w:lang w:bidi="ar"/>
              </w:rPr>
              <w:t>每次接到报修请求后，供应商应主动安排专员进行电话回访，核实用户需求是否解决、服务是否满意，以便监督服务质量并持续改进。</w:t>
            </w:r>
          </w:p>
        </w:tc>
      </w:tr>
      <w:tr w:rsidR="00792C9F" w14:paraId="23F5199A" w14:textId="77777777">
        <w:trPr>
          <w:trHeight w:val="816"/>
          <w:jc w:val="center"/>
        </w:trPr>
        <w:tc>
          <w:tcPr>
            <w:tcW w:w="817" w:type="dxa"/>
            <w:vAlign w:val="center"/>
          </w:tcPr>
          <w:p w14:paraId="18823981" w14:textId="77777777" w:rsidR="00792C9F" w:rsidRDefault="00000000">
            <w:pPr>
              <w:adjustRightInd w:val="0"/>
              <w:snapToGrid w:val="0"/>
              <w:spacing w:line="276" w:lineRule="auto"/>
              <w:jc w:val="center"/>
              <w:rPr>
                <w:rFonts w:hint="eastAsia"/>
                <w:b/>
                <w:sz w:val="24"/>
                <w:szCs w:val="24"/>
              </w:rPr>
            </w:pPr>
            <w:r>
              <w:rPr>
                <w:rFonts w:hint="eastAsia"/>
                <w:b/>
                <w:sz w:val="24"/>
                <w:szCs w:val="24"/>
              </w:rPr>
              <w:t>15</w:t>
            </w:r>
          </w:p>
        </w:tc>
        <w:tc>
          <w:tcPr>
            <w:tcW w:w="7683" w:type="dxa"/>
            <w:vAlign w:val="center"/>
          </w:tcPr>
          <w:p w14:paraId="56E4D610" w14:textId="57AF8758" w:rsidR="00792C9F" w:rsidRDefault="00000000">
            <w:pPr>
              <w:widowControl/>
              <w:jc w:val="left"/>
              <w:textAlignment w:val="center"/>
              <w:rPr>
                <w:rFonts w:hint="eastAsia"/>
                <w:sz w:val="24"/>
                <w:lang w:bidi="ar"/>
              </w:rPr>
            </w:pPr>
            <w:r>
              <w:rPr>
                <w:rFonts w:hint="eastAsia"/>
                <w:color w:val="000000"/>
                <w:lang w:bidi="ar"/>
              </w:rPr>
              <w:t>供应商应定期派遣工程师对系统进行全面巡检，现场实施测试与优化，主动发现和解决系统可能存在的隐患问题，保障系统安全、高效、稳定运行。</w:t>
            </w:r>
          </w:p>
        </w:tc>
      </w:tr>
      <w:tr w:rsidR="00792C9F" w14:paraId="22F6837F" w14:textId="77777777">
        <w:trPr>
          <w:trHeight w:val="816"/>
          <w:jc w:val="center"/>
        </w:trPr>
        <w:tc>
          <w:tcPr>
            <w:tcW w:w="817" w:type="dxa"/>
            <w:vAlign w:val="center"/>
          </w:tcPr>
          <w:p w14:paraId="0CE3F11B" w14:textId="77777777" w:rsidR="00792C9F" w:rsidRDefault="00000000">
            <w:pPr>
              <w:adjustRightInd w:val="0"/>
              <w:snapToGrid w:val="0"/>
              <w:spacing w:line="276" w:lineRule="auto"/>
              <w:jc w:val="center"/>
              <w:rPr>
                <w:rFonts w:hint="eastAsia"/>
                <w:b/>
                <w:sz w:val="24"/>
                <w:szCs w:val="24"/>
              </w:rPr>
            </w:pPr>
            <w:r>
              <w:rPr>
                <w:rFonts w:hint="eastAsia"/>
                <w:b/>
                <w:sz w:val="24"/>
                <w:szCs w:val="24"/>
              </w:rPr>
              <w:t>16</w:t>
            </w:r>
          </w:p>
        </w:tc>
        <w:tc>
          <w:tcPr>
            <w:tcW w:w="7683" w:type="dxa"/>
            <w:vAlign w:val="center"/>
          </w:tcPr>
          <w:p w14:paraId="1FA54937" w14:textId="03E8260C" w:rsidR="00792C9F" w:rsidRDefault="00000000">
            <w:pPr>
              <w:widowControl/>
              <w:jc w:val="left"/>
              <w:textAlignment w:val="center"/>
              <w:rPr>
                <w:rFonts w:hint="eastAsia"/>
                <w:sz w:val="24"/>
                <w:lang w:bidi="ar"/>
              </w:rPr>
            </w:pPr>
            <w:r>
              <w:rPr>
                <w:rFonts w:hint="eastAsia"/>
                <w:color w:val="000000"/>
                <w:lang w:bidi="ar"/>
              </w:rPr>
              <w:t>供应商必须提供全天候可用的400服务电话和维护工程师的直线联系电话，确保工作时间随时接听用户的报修、咨询或投诉，切实保障维护服务响应迅速有效。</w:t>
            </w:r>
          </w:p>
        </w:tc>
      </w:tr>
    </w:tbl>
    <w:p w14:paraId="0584D6A0" w14:textId="77777777" w:rsidR="00792C9F" w:rsidRDefault="00000000">
      <w:pPr>
        <w:pStyle w:val="2"/>
        <w:numPr>
          <w:ilvl w:val="0"/>
          <w:numId w:val="1"/>
        </w:numPr>
        <w:spacing w:line="276" w:lineRule="auto"/>
        <w:rPr>
          <w:rFonts w:ascii="宋体" w:eastAsia="宋体" w:hAnsi="宋体" w:cs="微软雅黑" w:hint="eastAsia"/>
          <w:color w:val="auto"/>
          <w:sz w:val="24"/>
          <w:szCs w:val="24"/>
        </w:rPr>
      </w:pPr>
      <w:r>
        <w:rPr>
          <w:rFonts w:ascii="宋体" w:eastAsia="宋体" w:hAnsi="宋体" w:cs="微软雅黑" w:hint="eastAsia"/>
          <w:color w:val="auto"/>
          <w:sz w:val="24"/>
          <w:szCs w:val="24"/>
        </w:rPr>
        <w:t>实施培训要求</w:t>
      </w:r>
    </w:p>
    <w:p w14:paraId="542A60BC" w14:textId="77777777" w:rsidR="00792C9F" w:rsidRDefault="00000000">
      <w:pPr>
        <w:pStyle w:val="af7"/>
        <w:numPr>
          <w:ilvl w:val="0"/>
          <w:numId w:val="2"/>
        </w:numPr>
        <w:tabs>
          <w:tab w:val="left" w:pos="908"/>
        </w:tabs>
        <w:spacing w:before="260" w:line="276" w:lineRule="auto"/>
        <w:ind w:left="0" w:firstLineChars="200" w:firstLine="468"/>
        <w:contextualSpacing w:val="0"/>
        <w:rPr>
          <w:rFonts w:hint="eastAsia"/>
          <w:sz w:val="24"/>
          <w:szCs w:val="24"/>
        </w:rPr>
      </w:pPr>
      <w:r>
        <w:rPr>
          <w:rFonts w:hint="eastAsia"/>
          <w:spacing w:val="-3"/>
          <w:sz w:val="24"/>
          <w:szCs w:val="24"/>
        </w:rPr>
        <w:t>供应商应按期按质完成提供技术服务工作。</w:t>
      </w:r>
    </w:p>
    <w:p w14:paraId="78CDF75E" w14:textId="77777777" w:rsidR="00792C9F" w:rsidRDefault="00000000">
      <w:pPr>
        <w:pStyle w:val="af7"/>
        <w:numPr>
          <w:ilvl w:val="0"/>
          <w:numId w:val="2"/>
        </w:numPr>
        <w:tabs>
          <w:tab w:val="left" w:pos="908"/>
        </w:tabs>
        <w:spacing w:before="135" w:line="276" w:lineRule="auto"/>
        <w:ind w:left="0" w:firstLineChars="200" w:firstLine="472"/>
        <w:contextualSpacing w:val="0"/>
        <w:rPr>
          <w:rFonts w:hint="eastAsia"/>
          <w:sz w:val="24"/>
          <w:szCs w:val="24"/>
        </w:rPr>
      </w:pPr>
      <w:r>
        <w:rPr>
          <w:rFonts w:hint="eastAsia"/>
          <w:spacing w:val="-2"/>
          <w:sz w:val="24"/>
          <w:szCs w:val="24"/>
        </w:rPr>
        <w:t>供应商负责对相关人员提供培训和技术支持，而且应保证使受训人员理解并掌握操作和维护所提供的软件系统/模块。</w:t>
      </w:r>
    </w:p>
    <w:p w14:paraId="1097C0A5" w14:textId="77777777" w:rsidR="00792C9F" w:rsidRDefault="00000000">
      <w:pPr>
        <w:pStyle w:val="af7"/>
        <w:numPr>
          <w:ilvl w:val="0"/>
          <w:numId w:val="2"/>
        </w:numPr>
        <w:tabs>
          <w:tab w:val="left" w:pos="908"/>
        </w:tabs>
        <w:spacing w:before="2" w:line="276" w:lineRule="auto"/>
        <w:ind w:left="0" w:firstLineChars="200" w:firstLine="468"/>
        <w:contextualSpacing w:val="0"/>
        <w:rPr>
          <w:rFonts w:hint="eastAsia"/>
          <w:sz w:val="24"/>
          <w:szCs w:val="24"/>
        </w:rPr>
      </w:pPr>
      <w:r>
        <w:rPr>
          <w:rFonts w:hint="eastAsia"/>
          <w:spacing w:val="-3"/>
          <w:sz w:val="24"/>
          <w:szCs w:val="24"/>
        </w:rPr>
        <w:t>供应商所提供的一切资料应通过合法途径获得，任何第三方不得对该资料主张权利。</w:t>
      </w:r>
    </w:p>
    <w:p w14:paraId="28C63835" w14:textId="77777777" w:rsidR="00792C9F" w:rsidRDefault="00000000">
      <w:pPr>
        <w:pStyle w:val="af7"/>
        <w:numPr>
          <w:ilvl w:val="0"/>
          <w:numId w:val="2"/>
        </w:numPr>
        <w:tabs>
          <w:tab w:val="left" w:pos="908"/>
        </w:tabs>
        <w:spacing w:before="91" w:line="276" w:lineRule="auto"/>
        <w:ind w:left="0" w:firstLineChars="200" w:firstLine="468"/>
        <w:contextualSpacing w:val="0"/>
        <w:rPr>
          <w:rFonts w:hint="eastAsia"/>
        </w:rPr>
      </w:pPr>
      <w:r>
        <w:rPr>
          <w:rFonts w:hint="eastAsia"/>
          <w:spacing w:val="-3"/>
          <w:sz w:val="24"/>
          <w:szCs w:val="24"/>
        </w:rPr>
        <w:t>供应商不得设置任何技术壁垒、恶意程序等手段影响干扰用户正常使用该系统软件。</w:t>
      </w:r>
    </w:p>
    <w:p w14:paraId="576720EB" w14:textId="77777777" w:rsidR="00792C9F" w:rsidRDefault="00000000">
      <w:pPr>
        <w:pStyle w:val="2"/>
        <w:numPr>
          <w:ilvl w:val="0"/>
          <w:numId w:val="1"/>
        </w:numPr>
        <w:spacing w:line="276" w:lineRule="auto"/>
        <w:rPr>
          <w:rFonts w:ascii="宋体" w:eastAsia="宋体" w:hAnsi="宋体" w:cs="微软雅黑" w:hint="eastAsia"/>
          <w:color w:val="auto"/>
          <w:sz w:val="24"/>
          <w:szCs w:val="24"/>
        </w:rPr>
      </w:pPr>
      <w:bookmarkStart w:id="4" w:name="5、验收条件要求"/>
      <w:bookmarkEnd w:id="4"/>
      <w:r>
        <w:rPr>
          <w:rFonts w:ascii="宋体" w:eastAsia="宋体" w:hAnsi="宋体" w:cs="微软雅黑" w:hint="eastAsia"/>
          <w:color w:val="auto"/>
          <w:sz w:val="24"/>
          <w:szCs w:val="24"/>
        </w:rPr>
        <w:t>验收条件要求</w:t>
      </w:r>
    </w:p>
    <w:p w14:paraId="2A66C525" w14:textId="77777777" w:rsidR="00792C9F" w:rsidRDefault="00000000">
      <w:pPr>
        <w:pStyle w:val="af7"/>
        <w:numPr>
          <w:ilvl w:val="1"/>
          <w:numId w:val="1"/>
        </w:numPr>
        <w:tabs>
          <w:tab w:val="left" w:pos="908"/>
        </w:tabs>
        <w:spacing w:before="258" w:line="276" w:lineRule="auto"/>
        <w:contextualSpacing w:val="0"/>
        <w:rPr>
          <w:rFonts w:hint="eastAsia"/>
          <w:sz w:val="24"/>
          <w:szCs w:val="24"/>
        </w:rPr>
      </w:pPr>
      <w:r>
        <w:rPr>
          <w:rFonts w:hint="eastAsia"/>
          <w:spacing w:val="-7"/>
          <w:sz w:val="24"/>
          <w:szCs w:val="24"/>
        </w:rPr>
        <w:t>验收标准</w:t>
      </w:r>
    </w:p>
    <w:p w14:paraId="43A5D3E3" w14:textId="77777777" w:rsidR="00792C9F" w:rsidRDefault="00000000">
      <w:pPr>
        <w:numPr>
          <w:ilvl w:val="0"/>
          <w:numId w:val="3"/>
        </w:numPr>
        <w:spacing w:before="135" w:line="276" w:lineRule="auto"/>
        <w:ind w:firstLineChars="200" w:firstLine="472"/>
        <w:rPr>
          <w:rFonts w:hint="eastAsia"/>
          <w:spacing w:val="-2"/>
          <w:sz w:val="24"/>
          <w:szCs w:val="24"/>
        </w:rPr>
      </w:pPr>
      <w:r>
        <w:rPr>
          <w:rFonts w:hint="eastAsia"/>
          <w:spacing w:val="-2"/>
          <w:sz w:val="24"/>
          <w:szCs w:val="24"/>
        </w:rPr>
        <w:t xml:space="preserve">技术服务工作形式：满足向用户提供项目相关数据的查询、统计、检索等技术服务工作； </w:t>
      </w:r>
    </w:p>
    <w:p w14:paraId="4BBE9530" w14:textId="77777777" w:rsidR="00792C9F" w:rsidRDefault="00000000">
      <w:pPr>
        <w:numPr>
          <w:ilvl w:val="0"/>
          <w:numId w:val="3"/>
        </w:numPr>
        <w:spacing w:before="135" w:line="276" w:lineRule="auto"/>
        <w:ind w:firstLineChars="200" w:firstLine="472"/>
        <w:rPr>
          <w:rFonts w:hint="eastAsia"/>
          <w:spacing w:val="-2"/>
          <w:sz w:val="24"/>
          <w:szCs w:val="24"/>
        </w:rPr>
      </w:pPr>
      <w:r>
        <w:rPr>
          <w:rFonts w:hint="eastAsia"/>
          <w:spacing w:val="-2"/>
          <w:sz w:val="24"/>
          <w:szCs w:val="24"/>
        </w:rPr>
        <w:t>技术服务成果验收标准：服务期满，提供服务满足本项目要求并得到用户签字确认；</w:t>
      </w:r>
      <w:r>
        <w:rPr>
          <w:rFonts w:hint="eastAsia"/>
          <w:spacing w:val="80"/>
          <w:w w:val="150"/>
          <w:sz w:val="24"/>
          <w:szCs w:val="24"/>
        </w:rPr>
        <w:t xml:space="preserve"> </w:t>
      </w:r>
    </w:p>
    <w:p w14:paraId="696E3797" w14:textId="77777777" w:rsidR="00792C9F" w:rsidRDefault="00000000">
      <w:pPr>
        <w:numPr>
          <w:ilvl w:val="0"/>
          <w:numId w:val="3"/>
        </w:numPr>
        <w:spacing w:before="135" w:line="276" w:lineRule="auto"/>
        <w:ind w:firstLineChars="200" w:firstLine="472"/>
        <w:rPr>
          <w:rFonts w:hint="eastAsia"/>
          <w:spacing w:val="-2"/>
          <w:sz w:val="24"/>
          <w:szCs w:val="24"/>
        </w:rPr>
      </w:pPr>
      <w:r>
        <w:rPr>
          <w:rFonts w:hint="eastAsia"/>
          <w:spacing w:val="-2"/>
          <w:sz w:val="24"/>
          <w:szCs w:val="24"/>
        </w:rPr>
        <w:t>技术服务工作成果验收方法：共同验收。</w:t>
      </w:r>
    </w:p>
    <w:p w14:paraId="44577DF0" w14:textId="77777777" w:rsidR="00792C9F" w:rsidRDefault="00000000">
      <w:pPr>
        <w:pStyle w:val="af7"/>
        <w:numPr>
          <w:ilvl w:val="1"/>
          <w:numId w:val="1"/>
        </w:numPr>
        <w:tabs>
          <w:tab w:val="left" w:pos="908"/>
        </w:tabs>
        <w:spacing w:before="258" w:line="276" w:lineRule="auto"/>
        <w:ind w:left="0" w:firstLineChars="200" w:firstLine="452"/>
        <w:contextualSpacing w:val="0"/>
        <w:rPr>
          <w:rFonts w:hint="eastAsia"/>
          <w:sz w:val="24"/>
          <w:szCs w:val="24"/>
        </w:rPr>
      </w:pPr>
      <w:r>
        <w:rPr>
          <w:rFonts w:hint="eastAsia"/>
          <w:spacing w:val="-7"/>
          <w:sz w:val="24"/>
          <w:szCs w:val="24"/>
        </w:rPr>
        <w:t>验收时间和验收地点</w:t>
      </w:r>
    </w:p>
    <w:p w14:paraId="6B87311C" w14:textId="77777777" w:rsidR="00792C9F" w:rsidRDefault="00000000">
      <w:pPr>
        <w:pStyle w:val="af7"/>
        <w:numPr>
          <w:ilvl w:val="0"/>
          <w:numId w:val="4"/>
        </w:numPr>
        <w:tabs>
          <w:tab w:val="left" w:pos="908"/>
        </w:tabs>
        <w:spacing w:line="276" w:lineRule="auto"/>
        <w:ind w:left="0" w:firstLineChars="200" w:firstLine="472"/>
        <w:contextualSpacing w:val="0"/>
        <w:rPr>
          <w:rFonts w:hint="eastAsia"/>
          <w:sz w:val="24"/>
          <w:szCs w:val="24"/>
        </w:rPr>
      </w:pPr>
      <w:r>
        <w:rPr>
          <w:rFonts w:hint="eastAsia"/>
          <w:spacing w:val="-2"/>
          <w:sz w:val="24"/>
          <w:szCs w:val="24"/>
        </w:rPr>
        <w:lastRenderedPageBreak/>
        <w:t>验收时间</w:t>
      </w:r>
    </w:p>
    <w:p w14:paraId="3C73DF9B" w14:textId="77777777" w:rsidR="00792C9F" w:rsidRDefault="00000000">
      <w:pPr>
        <w:spacing w:line="276" w:lineRule="auto"/>
        <w:ind w:firstLineChars="200" w:firstLine="464"/>
        <w:rPr>
          <w:rFonts w:hint="eastAsia"/>
          <w:sz w:val="24"/>
          <w:szCs w:val="24"/>
        </w:rPr>
      </w:pPr>
      <w:r>
        <w:rPr>
          <w:rFonts w:hint="eastAsia"/>
          <w:spacing w:val="-4"/>
          <w:sz w:val="24"/>
          <w:szCs w:val="24"/>
        </w:rPr>
        <w:t>由供应商提出验收申请，医院负责人收到申请后</w:t>
      </w:r>
      <w:r>
        <w:rPr>
          <w:rFonts w:hint="eastAsia"/>
          <w:spacing w:val="-2"/>
          <w:sz w:val="24"/>
          <w:szCs w:val="24"/>
        </w:rPr>
        <w:t>10</w:t>
      </w:r>
      <w:r>
        <w:rPr>
          <w:rFonts w:hint="eastAsia"/>
          <w:spacing w:val="-11"/>
          <w:sz w:val="24"/>
          <w:szCs w:val="24"/>
        </w:rPr>
        <w:t xml:space="preserve">个工作日内组织验收。如医院负责人超过 </w:t>
      </w:r>
      <w:r>
        <w:rPr>
          <w:rFonts w:hint="eastAsia"/>
          <w:spacing w:val="-2"/>
          <w:sz w:val="24"/>
          <w:szCs w:val="24"/>
        </w:rPr>
        <w:t>5</w:t>
      </w:r>
      <w:r>
        <w:rPr>
          <w:rFonts w:hint="eastAsia"/>
          <w:spacing w:val="-16"/>
          <w:sz w:val="24"/>
          <w:szCs w:val="24"/>
        </w:rPr>
        <w:t xml:space="preserve"> </w:t>
      </w:r>
      <w:proofErr w:type="gramStart"/>
      <w:r>
        <w:rPr>
          <w:rFonts w:hint="eastAsia"/>
          <w:spacing w:val="-16"/>
          <w:sz w:val="24"/>
          <w:szCs w:val="24"/>
        </w:rPr>
        <w:t>个</w:t>
      </w:r>
      <w:proofErr w:type="gramEnd"/>
      <w:r>
        <w:rPr>
          <w:rFonts w:hint="eastAsia"/>
          <w:spacing w:val="-16"/>
          <w:sz w:val="24"/>
          <w:szCs w:val="24"/>
        </w:rPr>
        <w:t>工</w:t>
      </w:r>
      <w:r>
        <w:rPr>
          <w:rFonts w:hint="eastAsia"/>
          <w:spacing w:val="-2"/>
          <w:sz w:val="24"/>
          <w:szCs w:val="24"/>
        </w:rPr>
        <w:t>作日未对服务结果提出书面异议又不签署验收服务报告的，视为默认验收不通过。</w:t>
      </w:r>
    </w:p>
    <w:p w14:paraId="44560E75" w14:textId="77777777" w:rsidR="00792C9F" w:rsidRDefault="00000000">
      <w:pPr>
        <w:pStyle w:val="af7"/>
        <w:numPr>
          <w:ilvl w:val="0"/>
          <w:numId w:val="4"/>
        </w:numPr>
        <w:tabs>
          <w:tab w:val="left" w:pos="908"/>
        </w:tabs>
        <w:spacing w:line="276" w:lineRule="auto"/>
        <w:ind w:left="0" w:firstLineChars="200" w:firstLine="472"/>
        <w:contextualSpacing w:val="0"/>
        <w:rPr>
          <w:rFonts w:hint="eastAsia"/>
          <w:spacing w:val="-2"/>
          <w:sz w:val="24"/>
          <w:szCs w:val="24"/>
        </w:rPr>
      </w:pPr>
      <w:r>
        <w:rPr>
          <w:rFonts w:hint="eastAsia"/>
          <w:spacing w:val="-2"/>
          <w:sz w:val="24"/>
          <w:szCs w:val="24"/>
        </w:rPr>
        <w:t>验收地点</w:t>
      </w:r>
    </w:p>
    <w:p w14:paraId="34756D7B" w14:textId="77777777" w:rsidR="00792C9F" w:rsidRDefault="00000000">
      <w:pPr>
        <w:spacing w:line="276" w:lineRule="auto"/>
        <w:ind w:firstLineChars="200" w:firstLine="464"/>
        <w:rPr>
          <w:rFonts w:hint="eastAsia"/>
        </w:rPr>
      </w:pPr>
      <w:r>
        <w:rPr>
          <w:rFonts w:hint="eastAsia"/>
          <w:spacing w:val="-4"/>
          <w:sz w:val="24"/>
          <w:szCs w:val="24"/>
        </w:rPr>
        <w:t>广东省广州市海珠区新港中路466号广东省第二人民医院</w:t>
      </w:r>
    </w:p>
    <w:sectPr w:rsidR="00792C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015BF4" w14:textId="77777777" w:rsidR="00611D38" w:rsidRDefault="00611D38">
      <w:pPr>
        <w:rPr>
          <w:rFonts w:hint="eastAsia"/>
        </w:rPr>
      </w:pPr>
      <w:r>
        <w:separator/>
      </w:r>
    </w:p>
  </w:endnote>
  <w:endnote w:type="continuationSeparator" w:id="0">
    <w:p w14:paraId="1FD7EED6" w14:textId="77777777" w:rsidR="00611D38" w:rsidRDefault="00611D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9044841"/>
    </w:sdtPr>
    <w:sdtContent>
      <w:sdt>
        <w:sdtPr>
          <w:id w:val="1728636285"/>
        </w:sdtPr>
        <w:sdtContent>
          <w:p w14:paraId="44341C7D" w14:textId="77777777" w:rsidR="00792C9F" w:rsidRDefault="00000000">
            <w:pPr>
              <w:pStyle w:val="a9"/>
              <w:jc w:val="center"/>
              <w:rPr>
                <w:rFonts w:hint="eastAsia"/>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3</w:t>
            </w:r>
            <w:r>
              <w:rPr>
                <w:b/>
                <w:bCs/>
                <w:sz w:val="24"/>
                <w:szCs w:val="24"/>
              </w:rPr>
              <w:fldChar w:fldCharType="end"/>
            </w:r>
          </w:p>
        </w:sdtContent>
      </w:sdt>
    </w:sdtContent>
  </w:sdt>
  <w:p w14:paraId="1E35D33C" w14:textId="77777777" w:rsidR="00792C9F" w:rsidRDefault="00792C9F">
    <w:pPr>
      <w:pStyle w:val="a9"/>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8CABB" w14:textId="77777777" w:rsidR="00611D38" w:rsidRDefault="00611D38">
      <w:pPr>
        <w:rPr>
          <w:rFonts w:hint="eastAsia"/>
        </w:rPr>
      </w:pPr>
      <w:r>
        <w:separator/>
      </w:r>
    </w:p>
  </w:footnote>
  <w:footnote w:type="continuationSeparator" w:id="0">
    <w:p w14:paraId="789D2A1E" w14:textId="77777777" w:rsidR="00611D38" w:rsidRDefault="00611D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2B6BE90"/>
    <w:multiLevelType w:val="singleLevel"/>
    <w:tmpl w:val="82B6BE90"/>
    <w:lvl w:ilvl="0">
      <w:start w:val="1"/>
      <w:numFmt w:val="decimal"/>
      <w:lvlText w:val="(%1)"/>
      <w:lvlJc w:val="left"/>
      <w:pPr>
        <w:ind w:left="425" w:hanging="425"/>
      </w:pPr>
      <w:rPr>
        <w:rFonts w:hint="default"/>
      </w:rPr>
    </w:lvl>
  </w:abstractNum>
  <w:abstractNum w:abstractNumId="1" w15:restartNumberingAfterBreak="0">
    <w:nsid w:val="18FE00CA"/>
    <w:multiLevelType w:val="multilevel"/>
    <w:tmpl w:val="18FE00CA"/>
    <w:lvl w:ilvl="0">
      <w:start w:val="1"/>
      <w:numFmt w:val="chineseCountingThousand"/>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5C0EC1D"/>
    <w:multiLevelType w:val="singleLevel"/>
    <w:tmpl w:val="55C0EC1D"/>
    <w:lvl w:ilvl="0">
      <w:start w:val="1"/>
      <w:numFmt w:val="decimal"/>
      <w:lvlText w:val="(%1)"/>
      <w:lvlJc w:val="left"/>
      <w:pPr>
        <w:ind w:left="425" w:hanging="425"/>
      </w:pPr>
      <w:rPr>
        <w:rFonts w:hint="default"/>
      </w:rPr>
    </w:lvl>
  </w:abstractNum>
  <w:abstractNum w:abstractNumId="3" w15:restartNumberingAfterBreak="0">
    <w:nsid w:val="74F23FB2"/>
    <w:multiLevelType w:val="singleLevel"/>
    <w:tmpl w:val="74F23FB2"/>
    <w:lvl w:ilvl="0">
      <w:start w:val="1"/>
      <w:numFmt w:val="decimal"/>
      <w:lvlText w:val="(%1)"/>
      <w:lvlJc w:val="left"/>
      <w:pPr>
        <w:tabs>
          <w:tab w:val="left" w:pos="312"/>
        </w:tabs>
      </w:pPr>
    </w:lvl>
  </w:abstractNum>
  <w:num w:numId="1" w16cid:durableId="1143429710">
    <w:abstractNumId w:val="1"/>
  </w:num>
  <w:num w:numId="2" w16cid:durableId="1136144680">
    <w:abstractNumId w:val="0"/>
  </w:num>
  <w:num w:numId="3" w16cid:durableId="553397821">
    <w:abstractNumId w:val="3"/>
  </w:num>
  <w:num w:numId="4" w16cid:durableId="12277637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JlNjcwNmNjNTk1ZjYwYjU3OTkyODA1NzA3NGZmMTAifQ=="/>
  </w:docVars>
  <w:rsids>
    <w:rsidRoot w:val="00B851CF"/>
    <w:rsid w:val="00000BC0"/>
    <w:rsid w:val="000520F1"/>
    <w:rsid w:val="000667EA"/>
    <w:rsid w:val="000A2352"/>
    <w:rsid w:val="0015479C"/>
    <w:rsid w:val="0017181F"/>
    <w:rsid w:val="002B4D01"/>
    <w:rsid w:val="002D539D"/>
    <w:rsid w:val="002F471E"/>
    <w:rsid w:val="00303F2B"/>
    <w:rsid w:val="0031780E"/>
    <w:rsid w:val="0037588C"/>
    <w:rsid w:val="0039218E"/>
    <w:rsid w:val="0046085B"/>
    <w:rsid w:val="004679DB"/>
    <w:rsid w:val="004B4A03"/>
    <w:rsid w:val="004F3808"/>
    <w:rsid w:val="00546AB8"/>
    <w:rsid w:val="00611D38"/>
    <w:rsid w:val="00772F9C"/>
    <w:rsid w:val="00792C9F"/>
    <w:rsid w:val="007965BA"/>
    <w:rsid w:val="007A5661"/>
    <w:rsid w:val="00842F00"/>
    <w:rsid w:val="00897019"/>
    <w:rsid w:val="008B6F32"/>
    <w:rsid w:val="00915DDC"/>
    <w:rsid w:val="0096291E"/>
    <w:rsid w:val="009D7893"/>
    <w:rsid w:val="009E663A"/>
    <w:rsid w:val="00A146E6"/>
    <w:rsid w:val="00A33B73"/>
    <w:rsid w:val="00A34AE2"/>
    <w:rsid w:val="00AB0EAD"/>
    <w:rsid w:val="00B15A72"/>
    <w:rsid w:val="00B35C2E"/>
    <w:rsid w:val="00B36181"/>
    <w:rsid w:val="00B851CF"/>
    <w:rsid w:val="00BA1A55"/>
    <w:rsid w:val="00BF65C1"/>
    <w:rsid w:val="00C23F8D"/>
    <w:rsid w:val="00C603D9"/>
    <w:rsid w:val="00C672B3"/>
    <w:rsid w:val="00C87854"/>
    <w:rsid w:val="00D40248"/>
    <w:rsid w:val="00DA68D2"/>
    <w:rsid w:val="00DB1553"/>
    <w:rsid w:val="00DD07B4"/>
    <w:rsid w:val="00EA233A"/>
    <w:rsid w:val="00EC2323"/>
    <w:rsid w:val="00EF68DD"/>
    <w:rsid w:val="00F13FEE"/>
    <w:rsid w:val="00F36905"/>
    <w:rsid w:val="00F65261"/>
    <w:rsid w:val="00F97169"/>
    <w:rsid w:val="00FA5640"/>
    <w:rsid w:val="01760BC5"/>
    <w:rsid w:val="0757640C"/>
    <w:rsid w:val="09241ADE"/>
    <w:rsid w:val="0AA945F0"/>
    <w:rsid w:val="0FDF10AC"/>
    <w:rsid w:val="104E5D16"/>
    <w:rsid w:val="10F863AD"/>
    <w:rsid w:val="13693F33"/>
    <w:rsid w:val="14BE346A"/>
    <w:rsid w:val="161A6299"/>
    <w:rsid w:val="1849373C"/>
    <w:rsid w:val="19C37774"/>
    <w:rsid w:val="1D492719"/>
    <w:rsid w:val="1DDA6E3B"/>
    <w:rsid w:val="1DE35204"/>
    <w:rsid w:val="1EFE38DF"/>
    <w:rsid w:val="23FD2891"/>
    <w:rsid w:val="26484BCC"/>
    <w:rsid w:val="265A4FBD"/>
    <w:rsid w:val="2D460FD6"/>
    <w:rsid w:val="2EAD65D1"/>
    <w:rsid w:val="3058256D"/>
    <w:rsid w:val="32960BF3"/>
    <w:rsid w:val="350031D3"/>
    <w:rsid w:val="3BE57837"/>
    <w:rsid w:val="3DD5344F"/>
    <w:rsid w:val="407C4056"/>
    <w:rsid w:val="432F53AF"/>
    <w:rsid w:val="43761230"/>
    <w:rsid w:val="462D5FE1"/>
    <w:rsid w:val="47037DAB"/>
    <w:rsid w:val="4AB376CE"/>
    <w:rsid w:val="4C4F33BB"/>
    <w:rsid w:val="4EC54E1A"/>
    <w:rsid w:val="52466271"/>
    <w:rsid w:val="535B5D4C"/>
    <w:rsid w:val="54372316"/>
    <w:rsid w:val="545333E8"/>
    <w:rsid w:val="5AF10706"/>
    <w:rsid w:val="5BE2700B"/>
    <w:rsid w:val="5EE5030F"/>
    <w:rsid w:val="625D25C1"/>
    <w:rsid w:val="65C51338"/>
    <w:rsid w:val="69855479"/>
    <w:rsid w:val="6C445178"/>
    <w:rsid w:val="6EDF387E"/>
    <w:rsid w:val="6FBD596D"/>
    <w:rsid w:val="72A946A6"/>
    <w:rsid w:val="741C69DA"/>
    <w:rsid w:val="748D516D"/>
    <w:rsid w:val="772C5186"/>
    <w:rsid w:val="7CE543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7175B"/>
  <w15:docId w15:val="{C4920AFC-7E58-4FC3-B999-917B5A505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autoSpaceDE w:val="0"/>
      <w:autoSpaceDN w:val="0"/>
    </w:pPr>
    <w:rPr>
      <w:rFonts w:ascii="宋体" w:hAnsi="宋体" w:cs="宋体"/>
      <w:sz w:val="22"/>
      <w:szCs w:val="22"/>
    </w:rPr>
  </w:style>
  <w:style w:type="paragraph" w:styleId="1">
    <w:name w:val="heading 1"/>
    <w:basedOn w:val="a"/>
    <w:next w:val="a"/>
    <w:link w:val="10"/>
    <w:autoRedefine/>
    <w:uiPriority w:val="9"/>
    <w:qFormat/>
    <w:pPr>
      <w:keepNext/>
      <w:keepLines/>
      <w:spacing w:before="480" w:after="80"/>
      <w:jc w:val="center"/>
      <w:outlineLvl w:val="0"/>
    </w:pPr>
    <w:rPr>
      <w:rFonts w:cstheme="majorBidi"/>
      <w:color w:val="0F4761" w:themeColor="accent1" w:themeShade="BF"/>
      <w:sz w:val="32"/>
      <w:szCs w:val="32"/>
    </w:rPr>
  </w:style>
  <w:style w:type="paragraph" w:styleId="2">
    <w:name w:val="heading 2"/>
    <w:basedOn w:val="a"/>
    <w:next w:val="a"/>
    <w:link w:val="20"/>
    <w:autoRedefine/>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autoRedefine/>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autoRedefine/>
    <w:uiPriority w:val="9"/>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style>
  <w:style w:type="paragraph" w:styleId="a5">
    <w:name w:val="Body Text"/>
    <w:basedOn w:val="a"/>
    <w:link w:val="a6"/>
    <w:autoRedefine/>
    <w:uiPriority w:val="1"/>
    <w:qFormat/>
    <w:rPr>
      <w:sz w:val="24"/>
      <w:szCs w:val="24"/>
    </w:rPr>
  </w:style>
  <w:style w:type="paragraph" w:styleId="a7">
    <w:name w:val="Plain Text"/>
    <w:basedOn w:val="a"/>
    <w:link w:val="a8"/>
    <w:autoRedefine/>
    <w:qFormat/>
    <w:pPr>
      <w:autoSpaceDE/>
      <w:autoSpaceDN/>
      <w:jc w:val="both"/>
    </w:pPr>
    <w:rPr>
      <w:rFonts w:hAnsi="Courier New"/>
      <w:kern w:val="2"/>
      <w:sz w:val="21"/>
      <w:szCs w:val="21"/>
    </w:rPr>
  </w:style>
  <w:style w:type="paragraph" w:styleId="a9">
    <w:name w:val="footer"/>
    <w:basedOn w:val="a"/>
    <w:link w:val="aa"/>
    <w:autoRedefine/>
    <w:uiPriority w:val="99"/>
    <w:unhideWhenUsed/>
    <w:qFormat/>
    <w:pPr>
      <w:tabs>
        <w:tab w:val="center" w:pos="4153"/>
        <w:tab w:val="right" w:pos="8306"/>
      </w:tabs>
      <w:snapToGrid w:val="0"/>
    </w:pPr>
    <w:rPr>
      <w:sz w:val="18"/>
      <w:szCs w:val="18"/>
    </w:rPr>
  </w:style>
  <w:style w:type="paragraph" w:styleId="ab">
    <w:name w:val="header"/>
    <w:basedOn w:val="a"/>
    <w:link w:val="ac"/>
    <w:autoRedefine/>
    <w:uiPriority w:val="99"/>
    <w:unhideWhenUsed/>
    <w:qFormat/>
    <w:pPr>
      <w:tabs>
        <w:tab w:val="center" w:pos="4153"/>
        <w:tab w:val="right" w:pos="8306"/>
      </w:tabs>
      <w:snapToGrid w:val="0"/>
      <w:jc w:val="center"/>
    </w:pPr>
    <w:rPr>
      <w:sz w:val="18"/>
      <w:szCs w:val="18"/>
    </w:rPr>
  </w:style>
  <w:style w:type="paragraph" w:styleId="ad">
    <w:name w:val="Subtitle"/>
    <w:basedOn w:val="a"/>
    <w:next w:val="a"/>
    <w:link w:val="ae"/>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f">
    <w:name w:val="Title"/>
    <w:basedOn w:val="a"/>
    <w:next w:val="a"/>
    <w:link w:val="af0"/>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1">
    <w:name w:val="annotation subject"/>
    <w:basedOn w:val="a3"/>
    <w:next w:val="a3"/>
    <w:link w:val="af2"/>
    <w:uiPriority w:val="99"/>
    <w:semiHidden/>
    <w:unhideWhenUsed/>
    <w:qFormat/>
    <w:rPr>
      <w:b/>
      <w:bCs/>
    </w:rPr>
  </w:style>
  <w:style w:type="table" w:styleId="af3">
    <w:name w:val="Table Grid"/>
    <w:basedOn w:val="a1"/>
    <w:autoRedefine/>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qFormat/>
    <w:rPr>
      <w:sz w:val="21"/>
      <w:szCs w:val="21"/>
    </w:rPr>
  </w:style>
  <w:style w:type="character" w:customStyle="1" w:styleId="10">
    <w:name w:val="标题 1 字符"/>
    <w:basedOn w:val="a0"/>
    <w:link w:val="1"/>
    <w:autoRedefine/>
    <w:uiPriority w:val="9"/>
    <w:qFormat/>
    <w:rPr>
      <w:rFonts w:ascii="宋体" w:hAnsi="宋体" w:cstheme="majorBidi"/>
      <w:color w:val="0F4761" w:themeColor="accent1" w:themeShade="BF"/>
      <w:sz w:val="32"/>
      <w:szCs w:val="32"/>
    </w:rPr>
  </w:style>
  <w:style w:type="character" w:customStyle="1" w:styleId="20">
    <w:name w:val="标题 2 字符"/>
    <w:basedOn w:val="a0"/>
    <w:link w:val="2"/>
    <w:autoRedefine/>
    <w:uiPriority w:val="9"/>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szCs w:val="24"/>
    </w:rPr>
  </w:style>
  <w:style w:type="character" w:customStyle="1" w:styleId="60">
    <w:name w:val="标题 6 字符"/>
    <w:basedOn w:val="a0"/>
    <w:link w:val="6"/>
    <w:autoRedefine/>
    <w:uiPriority w:val="9"/>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f0">
    <w:name w:val="标题 字符"/>
    <w:basedOn w:val="a0"/>
    <w:link w:val="af"/>
    <w:autoRedefine/>
    <w:uiPriority w:val="10"/>
    <w:qFormat/>
    <w:rPr>
      <w:rFonts w:asciiTheme="majorHAnsi" w:eastAsiaTheme="majorEastAsia" w:hAnsiTheme="majorHAnsi" w:cstheme="majorBidi"/>
      <w:spacing w:val="-10"/>
      <w:kern w:val="28"/>
      <w:sz w:val="56"/>
      <w:szCs w:val="56"/>
    </w:rPr>
  </w:style>
  <w:style w:type="character" w:customStyle="1" w:styleId="ae">
    <w:name w:val="副标题 字符"/>
    <w:basedOn w:val="a0"/>
    <w:link w:val="ad"/>
    <w:autoRedefine/>
    <w:uiPriority w:val="11"/>
    <w:qFormat/>
    <w:rPr>
      <w:rFonts w:asciiTheme="majorHAnsi" w:eastAsiaTheme="majorEastAsia" w:hAnsiTheme="majorHAnsi" w:cstheme="majorBidi"/>
      <w:color w:val="595959" w:themeColor="text1" w:themeTint="A6"/>
      <w:spacing w:val="15"/>
      <w:sz w:val="28"/>
      <w:szCs w:val="28"/>
    </w:rPr>
  </w:style>
  <w:style w:type="paragraph" w:styleId="af5">
    <w:name w:val="Quote"/>
    <w:basedOn w:val="a"/>
    <w:next w:val="a"/>
    <w:link w:val="af6"/>
    <w:uiPriority w:val="29"/>
    <w:qFormat/>
    <w:pPr>
      <w:spacing w:before="160" w:after="160"/>
      <w:jc w:val="center"/>
    </w:pPr>
    <w:rPr>
      <w:i/>
      <w:iCs/>
      <w:color w:val="404040" w:themeColor="text1" w:themeTint="BF"/>
    </w:rPr>
  </w:style>
  <w:style w:type="character" w:customStyle="1" w:styleId="af6">
    <w:name w:val="引用 字符"/>
    <w:basedOn w:val="a0"/>
    <w:link w:val="af5"/>
    <w:autoRedefine/>
    <w:uiPriority w:val="29"/>
    <w:qFormat/>
    <w:rPr>
      <w:i/>
      <w:iCs/>
      <w:color w:val="404040" w:themeColor="text1" w:themeTint="BF"/>
    </w:rPr>
  </w:style>
  <w:style w:type="paragraph" w:styleId="af7">
    <w:name w:val="List Paragraph"/>
    <w:basedOn w:val="a"/>
    <w:autoRedefine/>
    <w:uiPriority w:val="1"/>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8">
    <w:name w:val="Intense Quote"/>
    <w:basedOn w:val="a"/>
    <w:next w:val="a"/>
    <w:link w:val="af9"/>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9">
    <w:name w:val="明显引用 字符"/>
    <w:basedOn w:val="a0"/>
    <w:link w:val="af8"/>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c">
    <w:name w:val="页眉 字符"/>
    <w:basedOn w:val="a0"/>
    <w:link w:val="ab"/>
    <w:autoRedefine/>
    <w:uiPriority w:val="99"/>
    <w:qFormat/>
    <w:rPr>
      <w:sz w:val="18"/>
      <w:szCs w:val="18"/>
    </w:rPr>
  </w:style>
  <w:style w:type="character" w:customStyle="1" w:styleId="aa">
    <w:name w:val="页脚 字符"/>
    <w:basedOn w:val="a0"/>
    <w:link w:val="a9"/>
    <w:autoRedefine/>
    <w:uiPriority w:val="99"/>
    <w:qFormat/>
    <w:rPr>
      <w:sz w:val="18"/>
      <w:szCs w:val="18"/>
    </w:rPr>
  </w:style>
  <w:style w:type="character" w:customStyle="1" w:styleId="a6">
    <w:name w:val="正文文本 字符"/>
    <w:basedOn w:val="a0"/>
    <w:link w:val="a5"/>
    <w:uiPriority w:val="1"/>
    <w:qFormat/>
    <w:rPr>
      <w:rFonts w:ascii="宋体" w:eastAsia="宋体" w:hAnsi="宋体" w:cs="宋体"/>
      <w:kern w:val="0"/>
      <w:sz w:val="24"/>
      <w:szCs w:val="24"/>
    </w:rPr>
  </w:style>
  <w:style w:type="character" w:customStyle="1" w:styleId="a8">
    <w:name w:val="纯文本 字符"/>
    <w:basedOn w:val="a0"/>
    <w:link w:val="a7"/>
    <w:autoRedefine/>
    <w:qFormat/>
    <w:rPr>
      <w:rFonts w:ascii="宋体" w:eastAsia="宋体" w:hAnsi="Courier New" w:cs="宋体"/>
      <w:szCs w:val="21"/>
    </w:rPr>
  </w:style>
  <w:style w:type="table" w:customStyle="1" w:styleId="TableNormal">
    <w:name w:val="Table Normal"/>
    <w:autoRedefine/>
    <w:uiPriority w:val="2"/>
    <w:semiHidden/>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
    <w:autoRedefine/>
    <w:uiPriority w:val="1"/>
    <w:qFormat/>
  </w:style>
  <w:style w:type="character" w:customStyle="1" w:styleId="1CharChar">
    <w:name w:val="正文1 Char Char"/>
    <w:link w:val="13"/>
    <w:qFormat/>
    <w:rPr>
      <w:rFonts w:ascii="宋体"/>
      <w:sz w:val="24"/>
    </w:rPr>
  </w:style>
  <w:style w:type="paragraph" w:customStyle="1" w:styleId="13">
    <w:name w:val="正文1"/>
    <w:link w:val="1CharChar"/>
    <w:autoRedefine/>
    <w:qFormat/>
    <w:pPr>
      <w:widowControl w:val="0"/>
      <w:adjustRightInd w:val="0"/>
      <w:spacing w:line="360" w:lineRule="atLeast"/>
      <w:jc w:val="both"/>
      <w:textAlignment w:val="baseline"/>
    </w:pPr>
    <w:rPr>
      <w:rFonts w:ascii="宋体" w:eastAsiaTheme="minorEastAsia" w:hAnsiTheme="minorHAnsi" w:cstheme="minorBidi"/>
      <w:kern w:val="2"/>
      <w:sz w:val="24"/>
      <w:szCs w:val="22"/>
    </w:rPr>
  </w:style>
  <w:style w:type="paragraph" w:customStyle="1" w:styleId="14">
    <w:name w:val="修订1"/>
    <w:hidden/>
    <w:uiPriority w:val="99"/>
    <w:unhideWhenUsed/>
    <w:qFormat/>
    <w:rPr>
      <w:rFonts w:ascii="宋体" w:hAnsi="宋体" w:cs="宋体"/>
      <w:sz w:val="22"/>
      <w:szCs w:val="22"/>
    </w:rPr>
  </w:style>
  <w:style w:type="character" w:customStyle="1" w:styleId="a4">
    <w:name w:val="批注文字 字符"/>
    <w:basedOn w:val="a0"/>
    <w:link w:val="a3"/>
    <w:uiPriority w:val="99"/>
    <w:semiHidden/>
    <w:qFormat/>
    <w:rPr>
      <w:rFonts w:ascii="宋体" w:eastAsia="宋体" w:hAnsi="宋体" w:cs="宋体"/>
      <w:sz w:val="22"/>
      <w:szCs w:val="22"/>
    </w:rPr>
  </w:style>
  <w:style w:type="character" w:customStyle="1" w:styleId="af2">
    <w:name w:val="批注主题 字符"/>
    <w:basedOn w:val="a4"/>
    <w:link w:val="af1"/>
    <w:uiPriority w:val="99"/>
    <w:semiHidden/>
    <w:qFormat/>
    <w:rPr>
      <w:rFonts w:ascii="宋体" w:eastAsia="宋体" w:hAnsi="宋体" w:cs="宋体"/>
      <w:b/>
      <w:bCs/>
      <w:sz w:val="22"/>
      <w:szCs w:val="22"/>
    </w:rPr>
  </w:style>
  <w:style w:type="character" w:customStyle="1" w:styleId="font11">
    <w:name w:val="font11"/>
    <w:basedOn w:val="a0"/>
    <w:qFormat/>
    <w:rPr>
      <w:rFonts w:ascii="宋体" w:eastAsia="宋体" w:hAnsi="宋体" w:cs="宋体" w:hint="eastAsia"/>
      <w:color w:val="000000"/>
      <w:sz w:val="20"/>
      <w:szCs w:val="20"/>
      <w:u w:val="none"/>
    </w:rPr>
  </w:style>
  <w:style w:type="paragraph" w:customStyle="1" w:styleId="21">
    <w:name w:val="修订2"/>
    <w:hidden/>
    <w:uiPriority w:val="99"/>
    <w:unhideWhenUsed/>
    <w:qFormat/>
    <w:rPr>
      <w:rFonts w:ascii="宋体" w:hAnsi="宋体" w:cs="宋体"/>
      <w:sz w:val="22"/>
      <w:szCs w:val="22"/>
    </w:rPr>
  </w:style>
  <w:style w:type="paragraph" w:styleId="afa">
    <w:name w:val="Revision"/>
    <w:hidden/>
    <w:uiPriority w:val="99"/>
    <w:unhideWhenUsed/>
    <w:rsid w:val="00AB0EAD"/>
    <w:rPr>
      <w:rFonts w:ascii="宋体" w:hAnsi="宋体" w:cs="宋体"/>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5</Pages>
  <Words>578</Words>
  <Characters>3299</Characters>
  <Application>Microsoft Office Word</Application>
  <DocSecurity>0</DocSecurity>
  <Lines>27</Lines>
  <Paragraphs>7</Paragraphs>
  <ScaleCrop>false</ScaleCrop>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 xx</dc:creator>
  <cp:lastModifiedBy>user</cp:lastModifiedBy>
  <cp:revision>39</cp:revision>
  <cp:lastPrinted>2024-02-26T00:52:00Z</cp:lastPrinted>
  <dcterms:created xsi:type="dcterms:W3CDTF">2024-02-23T07:08:00Z</dcterms:created>
  <dcterms:modified xsi:type="dcterms:W3CDTF">2025-06-10T02:56:00Z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678614102F5C4D8081083B522A6069B2_13</vt:lpwstr>
  </property>
  <property fmtid="{D5CDD505-2E9C-101B-9397-08002B2CF9AE}" pid="4" name="KSOTemplateDocerSaveRecord">
    <vt:lpwstr>eyJoZGlkIjoiZDg0NmQ3MjQ1ODljZTU1ZjUzZmEzYTBhNGFiOWQ4MmQiLCJ1c2VySWQiOiI0NDQyNTU0MjUifQ==</vt:lpwstr>
  </property>
</Properties>
</file>